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04354" w14:textId="7DEA3E29" w:rsidR="008E2D8B" w:rsidRDefault="00400990" w:rsidP="008E2D8B">
      <w:pPr>
        <w:spacing w:line="276" w:lineRule="auto"/>
        <w:jc w:val="center"/>
        <w:rPr>
          <w:rFonts w:ascii="Arial" w:eastAsia="Arial" w:hAnsi="Arial" w:cs="Liberation Serif"/>
          <w:sz w:val="22"/>
          <w:szCs w:val="22"/>
          <w:lang w:val="eu-ES"/>
        </w:rPr>
      </w:pPr>
      <w:r>
        <w:rPr>
          <w:rFonts w:ascii="Arial" w:eastAsia="Arial" w:hAnsi="Arial" w:cs="Liberation Serif"/>
          <w:b/>
          <w:bCs/>
          <w:sz w:val="28"/>
          <w:szCs w:val="28"/>
          <w:lang w:val="eu-ES"/>
        </w:rPr>
        <w:t>Udaltzaingoak ontzi batentzako amarralekua izango du portuan badia</w:t>
      </w:r>
      <w:r w:rsidR="002F31F0">
        <w:rPr>
          <w:rFonts w:ascii="Arial" w:eastAsia="Arial" w:hAnsi="Arial" w:cs="Liberation Serif"/>
          <w:b/>
          <w:bCs/>
          <w:sz w:val="28"/>
          <w:szCs w:val="28"/>
          <w:lang w:val="eu-ES"/>
        </w:rPr>
        <w:t xml:space="preserve"> inguruan</w:t>
      </w:r>
      <w:r>
        <w:rPr>
          <w:rFonts w:ascii="Arial" w:eastAsia="Arial" w:hAnsi="Arial" w:cs="Liberation Serif"/>
          <w:b/>
          <w:bCs/>
          <w:sz w:val="28"/>
          <w:szCs w:val="28"/>
          <w:lang w:val="eu-ES"/>
        </w:rPr>
        <w:t xml:space="preserve"> segurtasuna hobetzeko</w:t>
      </w:r>
      <w:r w:rsidR="008E2D8B" w:rsidRPr="008E2D8B">
        <w:rPr>
          <w:rFonts w:ascii="Arial" w:eastAsia="Arial" w:hAnsi="Arial" w:cs="Liberation Serif"/>
          <w:b/>
          <w:bCs/>
          <w:sz w:val="28"/>
          <w:szCs w:val="28"/>
          <w:lang w:val="eu-ES"/>
        </w:rPr>
        <w:br/>
      </w:r>
      <w:r w:rsidR="008E2D8B" w:rsidRPr="008E2D8B">
        <w:rPr>
          <w:rFonts w:ascii="Arial" w:eastAsia="Arial" w:hAnsi="Arial" w:cs="Liberation Serif"/>
          <w:b/>
          <w:bCs/>
          <w:sz w:val="28"/>
          <w:szCs w:val="28"/>
          <w:lang w:val="eu-ES"/>
        </w:rPr>
        <w:br/>
      </w:r>
      <w:r w:rsidR="008E2D8B" w:rsidRPr="008E2D8B">
        <w:rPr>
          <w:rFonts w:ascii="Arial" w:eastAsia="Arial" w:hAnsi="Arial" w:cs="Liberation Serif"/>
          <w:i/>
          <w:iCs/>
          <w:sz w:val="22"/>
          <w:szCs w:val="22"/>
          <w:lang w:val="eu-ES"/>
        </w:rPr>
        <w:t xml:space="preserve">Donostiako Udalaren eta Euskadiko Kirol Portuak (EKP) erakundearen arteko </w:t>
      </w:r>
      <w:r w:rsidR="009A29E3">
        <w:rPr>
          <w:rFonts w:ascii="Arial" w:eastAsia="Arial" w:hAnsi="Arial" w:cs="Liberation Serif"/>
          <w:i/>
          <w:iCs/>
          <w:sz w:val="22"/>
          <w:szCs w:val="22"/>
          <w:lang w:val="eu-ES"/>
        </w:rPr>
        <w:t>hitzarmenari</w:t>
      </w:r>
      <w:r w:rsidR="008E2D8B" w:rsidRPr="008E2D8B">
        <w:rPr>
          <w:rFonts w:ascii="Arial" w:eastAsia="Arial" w:hAnsi="Arial" w:cs="Liberation Serif"/>
          <w:i/>
          <w:iCs/>
          <w:sz w:val="22"/>
          <w:szCs w:val="22"/>
          <w:lang w:val="eu-ES"/>
        </w:rPr>
        <w:t xml:space="preserve"> esker, Udaltzaingoak zaintza-lanak egin ditzake badian</w:t>
      </w:r>
      <w:r w:rsidR="008E2D8B" w:rsidRPr="008E2D8B">
        <w:rPr>
          <w:rFonts w:ascii="Arial" w:eastAsia="Arial" w:hAnsi="Arial" w:cs="Liberation Serif"/>
          <w:sz w:val="22"/>
          <w:szCs w:val="22"/>
          <w:lang w:val="eu-ES"/>
        </w:rPr>
        <w:br/>
      </w:r>
    </w:p>
    <w:p w14:paraId="560C8F2E" w14:textId="07272E77" w:rsidR="008E2D8B" w:rsidRDefault="008E2D8B" w:rsidP="008E2D8B">
      <w:pPr>
        <w:spacing w:line="276" w:lineRule="auto"/>
        <w:jc w:val="both"/>
        <w:rPr>
          <w:rFonts w:ascii="Arial" w:eastAsia="Arial" w:hAnsi="Arial" w:cs="Liberation Serif"/>
          <w:sz w:val="22"/>
          <w:szCs w:val="22"/>
          <w:lang w:val="eu-ES"/>
        </w:rPr>
      </w:pPr>
      <w:r w:rsidRPr="008E2D8B">
        <w:rPr>
          <w:rFonts w:ascii="Arial" w:eastAsia="Arial" w:hAnsi="Arial" w:cs="Liberation Serif"/>
          <w:sz w:val="22"/>
          <w:szCs w:val="22"/>
          <w:lang w:val="eu-ES"/>
        </w:rPr>
        <w:t>Tokiko Gobernu Batzarrak Donostiako Udalaren eta Euskadiko Kirol Portuak (EKP) erakundearen arteko lankidetza-hitzarmena onartu du, Udaltzaingoak instalazioak erabil ditzan, badiako zaintza-lanak egiten jarrai dezan, eta biek ere koordinazioa eta eraginkortasuna hobetzeko sortzen diren batzordeetan parte hartu ahal izan dezaten.</w:t>
      </w:r>
    </w:p>
    <w:p w14:paraId="64AC6E82" w14:textId="77777777" w:rsidR="008E2D8B" w:rsidRDefault="008E2D8B" w:rsidP="008E2D8B">
      <w:pPr>
        <w:spacing w:line="276" w:lineRule="auto"/>
        <w:jc w:val="both"/>
        <w:rPr>
          <w:rFonts w:ascii="Arial" w:eastAsia="Arial" w:hAnsi="Arial" w:cs="Liberation Serif"/>
          <w:sz w:val="22"/>
          <w:szCs w:val="22"/>
          <w:lang w:val="eu-ES"/>
        </w:rPr>
      </w:pPr>
    </w:p>
    <w:p w14:paraId="30AF581D" w14:textId="79FC1E06" w:rsidR="008E2D8B" w:rsidRDefault="008E2D8B" w:rsidP="008E2D8B">
      <w:pPr>
        <w:spacing w:line="276" w:lineRule="auto"/>
        <w:jc w:val="both"/>
        <w:rPr>
          <w:rFonts w:ascii="Arial" w:eastAsia="Arial" w:hAnsi="Arial" w:cs="Liberation Serif"/>
          <w:sz w:val="22"/>
          <w:szCs w:val="22"/>
          <w:lang w:val="eu-ES"/>
        </w:rPr>
      </w:pPr>
      <w:r w:rsidRPr="008E2D8B">
        <w:rPr>
          <w:rFonts w:ascii="Arial" w:eastAsia="Arial" w:hAnsi="Arial" w:cs="Liberation Serif"/>
          <w:sz w:val="22"/>
          <w:szCs w:val="22"/>
          <w:lang w:val="eu-ES"/>
        </w:rPr>
        <w:t>Jon Insausti alkateak azpimarratu duenez, " akordio honek agerian uzten du zein garrantzitsua den erakundeen arteko lankidetza herritarrentzako zerbitzuak hobetzeko, kasu honetan segurtasuna</w:t>
      </w:r>
      <w:r w:rsidR="00F41CB2">
        <w:rPr>
          <w:rFonts w:ascii="Arial" w:eastAsia="Arial" w:hAnsi="Arial" w:cs="Liberation Serif"/>
          <w:sz w:val="22"/>
          <w:szCs w:val="22"/>
          <w:lang w:val="eu-ES"/>
        </w:rPr>
        <w:t xml:space="preserve">rena </w:t>
      </w:r>
      <w:r w:rsidRPr="008E2D8B">
        <w:rPr>
          <w:rFonts w:ascii="Arial" w:eastAsia="Arial" w:hAnsi="Arial" w:cs="Liberation Serif"/>
          <w:sz w:val="22"/>
          <w:szCs w:val="22"/>
          <w:lang w:val="eu-ES"/>
        </w:rPr>
        <w:t>badia bezalako leku garrantzitsu batean".</w:t>
      </w:r>
    </w:p>
    <w:p w14:paraId="0D49F6F3" w14:textId="10922368" w:rsidR="008E2D8B" w:rsidRDefault="008E2D8B" w:rsidP="008E2D8B">
      <w:pPr>
        <w:spacing w:line="276" w:lineRule="auto"/>
        <w:jc w:val="both"/>
        <w:rPr>
          <w:rFonts w:ascii="Arial" w:eastAsia="Arial" w:hAnsi="Arial" w:cs="Liberation Serif"/>
          <w:sz w:val="22"/>
          <w:szCs w:val="22"/>
          <w:lang w:val="eu-ES"/>
        </w:rPr>
      </w:pPr>
      <w:r w:rsidRPr="008E2D8B">
        <w:rPr>
          <w:rFonts w:ascii="Arial" w:eastAsia="Arial" w:hAnsi="Arial" w:cs="Liberation Serif"/>
          <w:sz w:val="22"/>
          <w:szCs w:val="22"/>
          <w:lang w:val="eu-ES"/>
        </w:rPr>
        <w:br/>
        <w:t xml:space="preserve">Hitzarmen horri esker, Udaltzaingoak </w:t>
      </w:r>
      <w:r w:rsidRPr="00F41CB2">
        <w:rPr>
          <w:rFonts w:ascii="Arial" w:eastAsia="Arial" w:hAnsi="Arial" w:cs="Liberation Serif"/>
          <w:i/>
          <w:iCs/>
          <w:sz w:val="22"/>
          <w:szCs w:val="22"/>
          <w:lang w:val="eu-ES"/>
        </w:rPr>
        <w:t>zodiac</w:t>
      </w:r>
      <w:r w:rsidRPr="008E2D8B">
        <w:rPr>
          <w:rFonts w:ascii="Arial" w:eastAsia="Arial" w:hAnsi="Arial" w:cs="Liberation Serif"/>
          <w:sz w:val="22"/>
          <w:szCs w:val="22"/>
          <w:lang w:val="eu-ES"/>
        </w:rPr>
        <w:t xml:space="preserve"> motako ontzi pneumatikoarentzako amarraleku bat izan dezake</w:t>
      </w:r>
      <w:r w:rsidR="00F41CB2">
        <w:rPr>
          <w:rFonts w:ascii="Arial" w:eastAsia="Arial" w:hAnsi="Arial" w:cs="Liberation Serif"/>
          <w:sz w:val="22"/>
          <w:szCs w:val="22"/>
          <w:lang w:val="eu-ES"/>
        </w:rPr>
        <w:t>. Ibilgailu horrek</w:t>
      </w:r>
      <w:r w:rsidRPr="008E2D8B">
        <w:rPr>
          <w:rFonts w:ascii="Arial" w:eastAsia="Arial" w:hAnsi="Arial" w:cs="Liberation Serif"/>
          <w:sz w:val="22"/>
          <w:szCs w:val="22"/>
          <w:lang w:val="eu-ES"/>
        </w:rPr>
        <w:t xml:space="preserve"> zerbitzu berezia eskaintzen du</w:t>
      </w:r>
      <w:r w:rsidR="00F41CB2">
        <w:rPr>
          <w:rFonts w:ascii="Arial" w:eastAsia="Arial" w:hAnsi="Arial" w:cs="Liberation Serif"/>
          <w:sz w:val="22"/>
          <w:szCs w:val="22"/>
          <w:lang w:val="eu-ES"/>
        </w:rPr>
        <w:t>: n</w:t>
      </w:r>
      <w:r w:rsidRPr="008E2D8B">
        <w:rPr>
          <w:rFonts w:ascii="Arial" w:eastAsia="Arial" w:hAnsi="Arial" w:cs="Liberation Serif"/>
          <w:sz w:val="22"/>
          <w:szCs w:val="22"/>
          <w:lang w:val="eu-ES"/>
        </w:rPr>
        <w:t>abarmentzekoak dira igeriketa-probetan, estropadetan, Kontxako badian bainulariak erreskatatzeko operazioetan eta, oro har, Kontxako badiaren eta Urumea ibaiaren bokalean ingurune urtarreko segurtasuna kontrolatu eta bermatzearekin zerikusia duten jardueretan parte hartu izana.</w:t>
      </w:r>
    </w:p>
    <w:p w14:paraId="3ED6FEE1" w14:textId="77777777" w:rsidR="008E2D8B" w:rsidRDefault="008E2D8B" w:rsidP="008E2D8B">
      <w:pPr>
        <w:spacing w:line="276" w:lineRule="auto"/>
        <w:jc w:val="both"/>
        <w:rPr>
          <w:rFonts w:ascii="Arial" w:eastAsia="Arial" w:hAnsi="Arial" w:cs="Liberation Serif"/>
          <w:sz w:val="22"/>
          <w:szCs w:val="22"/>
          <w:lang w:val="eu-ES"/>
        </w:rPr>
      </w:pPr>
      <w:r w:rsidRPr="008E2D8B">
        <w:rPr>
          <w:rFonts w:ascii="Arial" w:eastAsia="Arial" w:hAnsi="Arial" w:cs="Liberation Serif"/>
          <w:sz w:val="22"/>
          <w:szCs w:val="22"/>
          <w:lang w:val="eu-ES"/>
        </w:rPr>
        <w:br/>
        <w:t>Gainera, bi erakundeek konpromisoa hartzen dute ingurune horretako aparteko larrialdiekin zerikusia duten gaietan eratu daitezkeen batzordeetan edo lantaldeetan elkarrekin lan egiteko.</w:t>
      </w:r>
    </w:p>
    <w:p w14:paraId="7D8CEB5E" w14:textId="5818B3CE" w:rsidR="008E2D8B" w:rsidRPr="008E2D8B" w:rsidRDefault="008E2D8B" w:rsidP="008E2D8B">
      <w:pPr>
        <w:spacing w:line="276" w:lineRule="auto"/>
        <w:jc w:val="both"/>
        <w:rPr>
          <w:rFonts w:ascii="Arial" w:eastAsia="Arial" w:hAnsi="Arial" w:cs="Liberation Serif"/>
          <w:b/>
          <w:bCs/>
          <w:sz w:val="22"/>
          <w:szCs w:val="22"/>
          <w:lang w:val="eu-ES"/>
        </w:rPr>
      </w:pPr>
      <w:r w:rsidRPr="008E2D8B">
        <w:rPr>
          <w:rFonts w:ascii="Arial" w:eastAsia="Arial" w:hAnsi="Arial" w:cs="Liberation Serif"/>
          <w:sz w:val="22"/>
          <w:szCs w:val="22"/>
          <w:lang w:val="eu-ES"/>
        </w:rPr>
        <w:br/>
      </w:r>
      <w:r w:rsidRPr="008E2D8B">
        <w:rPr>
          <w:rFonts w:ascii="Arial" w:eastAsia="Arial" w:hAnsi="Arial" w:cs="Liberation Serif"/>
          <w:b/>
          <w:bCs/>
          <w:sz w:val="22"/>
          <w:szCs w:val="22"/>
          <w:lang w:val="eu-ES"/>
        </w:rPr>
        <w:t>Udaltzaingoaren ibilgailuak</w:t>
      </w:r>
    </w:p>
    <w:p w14:paraId="7E66E1D7" w14:textId="77777777" w:rsidR="008E2D8B" w:rsidRDefault="008E2D8B" w:rsidP="008E2D8B">
      <w:pPr>
        <w:spacing w:line="276" w:lineRule="auto"/>
        <w:jc w:val="both"/>
        <w:rPr>
          <w:rFonts w:ascii="Arial" w:eastAsia="Arial" w:hAnsi="Arial" w:cs="Liberation Serif"/>
          <w:sz w:val="22"/>
          <w:szCs w:val="22"/>
          <w:lang w:val="eu-ES"/>
        </w:rPr>
      </w:pPr>
      <w:r w:rsidRPr="008E2D8B">
        <w:rPr>
          <w:rFonts w:ascii="Arial" w:eastAsia="Arial" w:hAnsi="Arial" w:cs="Liberation Serif"/>
          <w:sz w:val="22"/>
          <w:szCs w:val="22"/>
          <w:lang w:val="eu-ES"/>
        </w:rPr>
        <w:br/>
        <w:t xml:space="preserve">Erabaki horretaz gain, Tokiko Gobernu Batzarrak Udaltzaingorako lau patruila-auto </w:t>
      </w:r>
      <w:r w:rsidRPr="00F41CB2">
        <w:rPr>
          <w:rFonts w:ascii="Arial" w:eastAsia="Arial" w:hAnsi="Arial" w:cs="Liberation Serif"/>
          <w:i/>
          <w:iCs/>
          <w:sz w:val="22"/>
          <w:szCs w:val="22"/>
          <w:lang w:val="eu-ES"/>
        </w:rPr>
        <w:t>renting</w:t>
      </w:r>
      <w:r w:rsidRPr="008E2D8B">
        <w:rPr>
          <w:rFonts w:ascii="Arial" w:eastAsia="Arial" w:hAnsi="Arial" w:cs="Liberation Serif"/>
          <w:sz w:val="22"/>
          <w:szCs w:val="22"/>
          <w:lang w:val="eu-ES"/>
        </w:rPr>
        <w:t xml:space="preserve"> sistemaren bidez hornitzeko kontratazioaren espedientea onartu du, 66.792 €-ko lizitaziorako oinarrizko aurrekontuarekin eta 5 urteko epearekin.</w:t>
      </w:r>
    </w:p>
    <w:p w14:paraId="0932A2EE" w14:textId="77777777" w:rsidR="008E2D8B" w:rsidRPr="00DF7F60" w:rsidRDefault="008E2D8B" w:rsidP="008E2D8B">
      <w:pPr>
        <w:spacing w:line="276" w:lineRule="auto"/>
        <w:jc w:val="both"/>
        <w:rPr>
          <w:rFonts w:ascii="Arial" w:eastAsia="Arial" w:hAnsi="Arial" w:cs="Liberation Serif"/>
          <w:lang w:val="eu-ES"/>
        </w:rPr>
      </w:pPr>
      <w:r w:rsidRPr="00DF7F60">
        <w:rPr>
          <w:rFonts w:ascii="Arial" w:eastAsia="Arial" w:hAnsi="Arial" w:cs="Liberation Serif"/>
          <w:lang w:val="eu-ES"/>
        </w:rPr>
        <w:br/>
        <w:t>Ibilgailu horien hornidurak Udaltzaingoaren patruila-ibilgailuen flota berritzeko eta handitzeko beharrari erantzuten dio, eta, aldi berean, ingurumen-inpaktu negatiboa murrizten laguntzen du, bai eta mantentze-lanak ingurumena gehiago errespetatzen ere.</w:t>
      </w:r>
    </w:p>
    <w:p w14:paraId="63D9D4CD" w14:textId="77777777" w:rsidR="00C94DCE" w:rsidRDefault="00C94DCE" w:rsidP="008E2D8B">
      <w:pPr>
        <w:spacing w:line="276" w:lineRule="auto"/>
        <w:jc w:val="both"/>
        <w:rPr>
          <w:rFonts w:ascii="Arial" w:eastAsia="Arial" w:hAnsi="Arial" w:cs="Liberation Serif"/>
          <w:sz w:val="22"/>
          <w:szCs w:val="22"/>
          <w:lang w:val="eu-ES"/>
        </w:rPr>
      </w:pPr>
    </w:p>
    <w:p w14:paraId="5882A5EF" w14:textId="62A6B313" w:rsidR="00C94DCE" w:rsidRPr="00C94DCE" w:rsidRDefault="00C94DCE" w:rsidP="008E2D8B">
      <w:pPr>
        <w:spacing w:line="276" w:lineRule="auto"/>
        <w:jc w:val="both"/>
        <w:rPr>
          <w:rFonts w:ascii="Arial" w:eastAsia="Arial" w:hAnsi="Arial" w:cs="Liberation Serif"/>
          <w:b/>
          <w:bCs/>
          <w:sz w:val="22"/>
          <w:szCs w:val="22"/>
          <w:lang w:val="eu-ES"/>
        </w:rPr>
      </w:pPr>
      <w:r w:rsidRPr="00C94DCE">
        <w:rPr>
          <w:rFonts w:ascii="Arial" w:eastAsia="Arial" w:hAnsi="Arial" w:cs="Liberation Serif"/>
          <w:b/>
          <w:bCs/>
          <w:sz w:val="22"/>
          <w:szCs w:val="22"/>
          <w:lang w:val="eu-ES"/>
        </w:rPr>
        <w:t>Eraikuntzaren Institutua eraisteko lizentzia</w:t>
      </w:r>
    </w:p>
    <w:p w14:paraId="120577EB" w14:textId="77777777" w:rsidR="00C94DCE" w:rsidRDefault="00C94DCE" w:rsidP="008E2D8B">
      <w:pPr>
        <w:spacing w:line="276" w:lineRule="auto"/>
        <w:jc w:val="both"/>
        <w:rPr>
          <w:rFonts w:ascii="Arial" w:eastAsia="Arial" w:hAnsi="Arial" w:cs="Liberation Serif"/>
          <w:sz w:val="22"/>
          <w:szCs w:val="22"/>
          <w:lang w:val="eu-ES"/>
        </w:rPr>
      </w:pPr>
    </w:p>
    <w:p w14:paraId="14453BAA" w14:textId="52289580" w:rsidR="00C94DCE" w:rsidRDefault="00C94DCE" w:rsidP="008E2D8B">
      <w:pPr>
        <w:spacing w:line="276" w:lineRule="auto"/>
        <w:jc w:val="both"/>
        <w:rPr>
          <w:rFonts w:ascii="Arial" w:eastAsia="Arial" w:hAnsi="Arial" w:cs="Liberation Serif"/>
          <w:sz w:val="22"/>
          <w:szCs w:val="22"/>
          <w:lang w:val="eu-ES"/>
        </w:rPr>
      </w:pPr>
      <w:r w:rsidRPr="00C94DCE">
        <w:rPr>
          <w:rFonts w:ascii="Arial" w:eastAsia="Arial" w:hAnsi="Arial" w:cs="Liberation Serif"/>
          <w:sz w:val="22"/>
          <w:szCs w:val="22"/>
          <w:lang w:val="eu-ES"/>
        </w:rPr>
        <w:t xml:space="preserve">Bestalde, Tokiko Gobernu Batzarraren gaiez gain, alkateak iragarri du Udalak Altzan dagoen eta Kutxa Fundazioaren jabetzakoa den Eraikuntzaren Institutua eraisteko lizentzia sinatu duela. Jon Insaustik aurreratu duenez, "laster sartuko dira eraikina eraisteko makinak", eta "auzoa berroneratzeko dudan konpromisoa" berretsi du. </w:t>
      </w:r>
      <w:r w:rsidRPr="00C94DCE">
        <w:rPr>
          <w:rFonts w:ascii="Arial" w:eastAsia="Arial" w:hAnsi="Arial" w:cs="Liberation Serif"/>
          <w:sz w:val="22"/>
          <w:szCs w:val="22"/>
        </w:rPr>
        <w:t xml:space="preserve">"Horretarako, bizilagunekin eta inguruko eraikinen jabeekin harremanetan nago etengabe, eta </w:t>
      </w:r>
      <w:r w:rsidR="00DF7F60">
        <w:rPr>
          <w:rFonts w:ascii="Arial" w:eastAsia="Arial" w:hAnsi="Arial" w:cs="Liberation Serif"/>
          <w:sz w:val="22"/>
          <w:szCs w:val="22"/>
        </w:rPr>
        <w:t>urratsak</w:t>
      </w:r>
      <w:r w:rsidRPr="00C94DCE">
        <w:rPr>
          <w:rFonts w:ascii="Arial" w:eastAsia="Arial" w:hAnsi="Arial" w:cs="Liberation Serif"/>
          <w:sz w:val="22"/>
          <w:szCs w:val="22"/>
        </w:rPr>
        <w:t xml:space="preserve"> </w:t>
      </w:r>
      <w:r w:rsidR="00DF7F60">
        <w:rPr>
          <w:rFonts w:ascii="Arial" w:eastAsia="Arial" w:hAnsi="Arial" w:cs="Liberation Serif"/>
          <w:sz w:val="22"/>
          <w:szCs w:val="22"/>
        </w:rPr>
        <w:t>bata bestearen atzetik</w:t>
      </w:r>
      <w:r w:rsidR="00DF7F60" w:rsidRPr="00C94DCE">
        <w:rPr>
          <w:rFonts w:ascii="Arial" w:eastAsia="Arial" w:hAnsi="Arial" w:cs="Liberation Serif"/>
          <w:sz w:val="22"/>
          <w:szCs w:val="22"/>
        </w:rPr>
        <w:t xml:space="preserve"> </w:t>
      </w:r>
      <w:r w:rsidRPr="00C94DCE">
        <w:rPr>
          <w:rFonts w:ascii="Arial" w:eastAsia="Arial" w:hAnsi="Arial" w:cs="Liberation Serif"/>
          <w:sz w:val="22"/>
          <w:szCs w:val="22"/>
        </w:rPr>
        <w:t>ahalik eta azkarren ematen ari gara</w:t>
      </w:r>
      <w:r w:rsidR="00DF7F60">
        <w:rPr>
          <w:rFonts w:ascii="Arial" w:eastAsia="Arial" w:hAnsi="Arial" w:cs="Liberation Serif"/>
          <w:sz w:val="22"/>
          <w:szCs w:val="22"/>
        </w:rPr>
        <w:t xml:space="preserve"> </w:t>
      </w:r>
      <w:r w:rsidRPr="00C94DCE">
        <w:rPr>
          <w:rFonts w:ascii="Arial" w:eastAsia="Arial" w:hAnsi="Arial" w:cs="Liberation Serif"/>
          <w:sz w:val="22"/>
          <w:szCs w:val="22"/>
        </w:rPr>
        <w:t>".</w:t>
      </w:r>
    </w:p>
    <w:p w14:paraId="64B17417" w14:textId="7077DC40" w:rsidR="008E2D8B" w:rsidRDefault="008E2D8B" w:rsidP="00DF7F60">
      <w:pPr>
        <w:spacing w:line="276" w:lineRule="auto"/>
        <w:jc w:val="right"/>
        <w:rPr>
          <w:rFonts w:ascii="Arial" w:eastAsia="Arial" w:hAnsi="Arial" w:cs="Liberation Serif"/>
          <w:b/>
          <w:bCs/>
          <w:sz w:val="28"/>
          <w:szCs w:val="28"/>
        </w:rPr>
      </w:pPr>
      <w:r w:rsidRPr="008E2D8B">
        <w:rPr>
          <w:rFonts w:ascii="Arial" w:eastAsia="Arial" w:hAnsi="Arial" w:cs="Liberation Serif"/>
          <w:sz w:val="22"/>
          <w:szCs w:val="22"/>
          <w:lang w:val="eu-ES"/>
        </w:rPr>
        <w:br/>
        <w:t>Donostia, 2026ko ekainaren 23a</w:t>
      </w:r>
      <w:r>
        <w:rPr>
          <w:rFonts w:ascii="Arial" w:eastAsia="Arial" w:hAnsi="Arial" w:cs="Liberation Serif"/>
          <w:b/>
          <w:bCs/>
          <w:sz w:val="28"/>
          <w:szCs w:val="28"/>
        </w:rPr>
        <w:br w:type="page"/>
      </w:r>
    </w:p>
    <w:p w14:paraId="180CE3FE" w14:textId="1ABF684E" w:rsidR="00A47A86" w:rsidRDefault="009A29E3">
      <w:pPr>
        <w:jc w:val="center"/>
      </w:pPr>
      <w:r>
        <w:rPr>
          <w:rFonts w:ascii="Arial" w:eastAsia="Arial" w:hAnsi="Arial" w:cs="Liberation Serif"/>
          <w:b/>
          <w:bCs/>
          <w:sz w:val="28"/>
          <w:szCs w:val="28"/>
        </w:rPr>
        <w:lastRenderedPageBreak/>
        <w:t>La Guardia Municipal tendrá un amarre en el puerto para mejorar la seguridad en el entorno de la bahía</w:t>
      </w:r>
    </w:p>
    <w:p w14:paraId="4193514E" w14:textId="77777777" w:rsidR="00A47A86" w:rsidRDefault="00A47A86">
      <w:pPr>
        <w:spacing w:line="276" w:lineRule="auto"/>
        <w:jc w:val="center"/>
        <w:rPr>
          <w:rFonts w:ascii="Arial" w:eastAsia="Arial" w:hAnsi="Arial" w:cs="Liberation Serif"/>
          <w:i/>
          <w:iCs/>
          <w:sz w:val="22"/>
          <w:szCs w:val="22"/>
        </w:rPr>
      </w:pPr>
    </w:p>
    <w:p w14:paraId="4BA2E27F" w14:textId="4BD16B81" w:rsidR="00A47A86" w:rsidRDefault="002D1E13">
      <w:pPr>
        <w:spacing w:line="276" w:lineRule="auto"/>
        <w:jc w:val="center"/>
      </w:pPr>
      <w:r>
        <w:rPr>
          <w:rFonts w:ascii="Arial" w:eastAsia="Arial" w:hAnsi="Arial" w:cs="Liberation Serif"/>
          <w:i/>
          <w:iCs/>
          <w:sz w:val="22"/>
          <w:szCs w:val="22"/>
        </w:rPr>
        <w:t xml:space="preserve">Este acuerdo anual entre </w:t>
      </w:r>
      <w:r w:rsidRPr="002D1E13">
        <w:rPr>
          <w:rFonts w:ascii="Arial" w:eastAsia="Arial" w:hAnsi="Arial" w:cs="Liberation Serif"/>
          <w:i/>
          <w:iCs/>
          <w:sz w:val="22"/>
          <w:szCs w:val="22"/>
        </w:rPr>
        <w:t xml:space="preserve">Ayuntamiento de San </w:t>
      </w:r>
      <w:r w:rsidR="008E2D8B" w:rsidRPr="002D1E13">
        <w:rPr>
          <w:rFonts w:ascii="Arial" w:eastAsia="Arial" w:hAnsi="Arial" w:cs="Liberation Serif"/>
          <w:i/>
          <w:iCs/>
          <w:sz w:val="22"/>
          <w:szCs w:val="22"/>
        </w:rPr>
        <w:t>Sebastián</w:t>
      </w:r>
      <w:r w:rsidRPr="002D1E13">
        <w:rPr>
          <w:rFonts w:ascii="Arial" w:eastAsia="Arial" w:hAnsi="Arial" w:cs="Liberation Serif"/>
          <w:i/>
          <w:iCs/>
          <w:sz w:val="22"/>
          <w:szCs w:val="22"/>
        </w:rPr>
        <w:t xml:space="preserve"> y el Euskadiko Kirol Portuak (EKP)</w:t>
      </w:r>
      <w:r>
        <w:rPr>
          <w:rFonts w:ascii="Arial" w:eastAsia="Arial" w:hAnsi="Arial" w:cs="Liberation Serif"/>
          <w:i/>
          <w:iCs/>
          <w:sz w:val="22"/>
          <w:szCs w:val="22"/>
        </w:rPr>
        <w:t xml:space="preserve"> permite que</w:t>
      </w:r>
      <w:r w:rsidR="00DF7F60">
        <w:rPr>
          <w:rFonts w:ascii="Arial" w:eastAsia="Arial" w:hAnsi="Arial" w:cs="Liberation Serif"/>
          <w:i/>
          <w:iCs/>
          <w:sz w:val="22"/>
          <w:szCs w:val="22"/>
        </w:rPr>
        <w:t xml:space="preserve"> la</w:t>
      </w:r>
      <w:r>
        <w:rPr>
          <w:rFonts w:ascii="Arial" w:eastAsia="Arial" w:hAnsi="Arial" w:cs="Liberation Serif"/>
          <w:i/>
          <w:iCs/>
          <w:sz w:val="22"/>
          <w:szCs w:val="22"/>
        </w:rPr>
        <w:t xml:space="preserve"> </w:t>
      </w:r>
      <w:r w:rsidRPr="002D1E13">
        <w:rPr>
          <w:rFonts w:ascii="Arial" w:eastAsia="Arial" w:hAnsi="Arial" w:cs="Liberation Serif"/>
          <w:i/>
          <w:iCs/>
          <w:sz w:val="22"/>
          <w:szCs w:val="22"/>
        </w:rPr>
        <w:t xml:space="preserve">Guardia Municipal </w:t>
      </w:r>
      <w:r>
        <w:rPr>
          <w:rFonts w:ascii="Arial" w:eastAsia="Arial" w:hAnsi="Arial" w:cs="Liberation Serif"/>
          <w:i/>
          <w:iCs/>
          <w:sz w:val="22"/>
          <w:szCs w:val="22"/>
        </w:rPr>
        <w:t>preste</w:t>
      </w:r>
      <w:r w:rsidRPr="002D1E13">
        <w:rPr>
          <w:rFonts w:ascii="Arial" w:eastAsia="Arial" w:hAnsi="Arial" w:cs="Liberation Serif"/>
          <w:i/>
          <w:iCs/>
          <w:sz w:val="22"/>
          <w:szCs w:val="22"/>
        </w:rPr>
        <w:t xml:space="preserve"> labores de vigilancia </w:t>
      </w:r>
    </w:p>
    <w:p w14:paraId="42D7EEB7" w14:textId="77777777" w:rsidR="00A47A86" w:rsidRDefault="00A47A86">
      <w:pPr>
        <w:spacing w:line="276" w:lineRule="auto"/>
        <w:jc w:val="center"/>
        <w:rPr>
          <w:rFonts w:ascii="Arial" w:eastAsia="NSimSun" w:hAnsi="Arial" w:cs="Arial"/>
          <w:b/>
          <w:bCs/>
          <w:sz w:val="22"/>
          <w:szCs w:val="22"/>
        </w:rPr>
      </w:pPr>
    </w:p>
    <w:p w14:paraId="739E7F4F" w14:textId="05914FF2" w:rsidR="00A47A86" w:rsidRDefault="002D1E13" w:rsidP="00BF6087">
      <w:pPr>
        <w:spacing w:line="276" w:lineRule="auto"/>
        <w:jc w:val="both"/>
        <w:rPr>
          <w:rStyle w:val="Fuentedeprrafopredeter1"/>
          <w:rFonts w:ascii="Arial" w:eastAsia="Arial" w:hAnsi="Arial" w:cs="Arial"/>
          <w:sz w:val="22"/>
          <w:szCs w:val="22"/>
        </w:rPr>
      </w:pPr>
      <w:r>
        <w:rPr>
          <w:rStyle w:val="Fuentedeprrafopredeter1"/>
          <w:rFonts w:ascii="Arial" w:eastAsia="Arial" w:hAnsi="Arial" w:cs="Arial"/>
          <w:sz w:val="22"/>
          <w:szCs w:val="22"/>
        </w:rPr>
        <w:t>La Junta de Gobierno Local</w:t>
      </w:r>
      <w:r w:rsidR="008A1FAC">
        <w:rPr>
          <w:rStyle w:val="Fuentedeprrafopredeter1"/>
          <w:rFonts w:ascii="Arial" w:eastAsia="Arial" w:hAnsi="Arial" w:cs="Arial"/>
          <w:sz w:val="22"/>
          <w:szCs w:val="22"/>
        </w:rPr>
        <w:t xml:space="preserve"> ha aprobado </w:t>
      </w:r>
      <w:r w:rsidRPr="002D1E13">
        <w:rPr>
          <w:rStyle w:val="Fuentedeprrafopredeter1"/>
          <w:rFonts w:ascii="Arial" w:eastAsia="Arial" w:hAnsi="Arial" w:cs="Arial"/>
          <w:sz w:val="22"/>
          <w:szCs w:val="22"/>
        </w:rPr>
        <w:t xml:space="preserve">el convenio de colaboración entre el Ayuntamiento de </w:t>
      </w:r>
      <w:r>
        <w:rPr>
          <w:rStyle w:val="Fuentedeprrafopredeter1"/>
          <w:rFonts w:ascii="Arial" w:eastAsia="Arial" w:hAnsi="Arial" w:cs="Arial"/>
          <w:sz w:val="22"/>
          <w:szCs w:val="22"/>
        </w:rPr>
        <w:t xml:space="preserve">Donostia / </w:t>
      </w:r>
      <w:r w:rsidRPr="002D1E13">
        <w:rPr>
          <w:rStyle w:val="Fuentedeprrafopredeter1"/>
          <w:rFonts w:ascii="Arial" w:eastAsia="Arial" w:hAnsi="Arial" w:cs="Arial"/>
          <w:sz w:val="22"/>
          <w:szCs w:val="22"/>
        </w:rPr>
        <w:t>San Sebastián y el Euskadiko Kirol Portuak (EKP) para el uso de las instalaciones por parte de la Guardia Municipal</w:t>
      </w:r>
      <w:r>
        <w:rPr>
          <w:rStyle w:val="Fuentedeprrafopredeter1"/>
          <w:rFonts w:ascii="Arial" w:eastAsia="Arial" w:hAnsi="Arial" w:cs="Arial"/>
          <w:sz w:val="22"/>
          <w:szCs w:val="22"/>
        </w:rPr>
        <w:t xml:space="preserve">, de manera que </w:t>
      </w:r>
      <w:r w:rsidRPr="002D1E13">
        <w:rPr>
          <w:rStyle w:val="Fuentedeprrafopredeter1"/>
          <w:rFonts w:ascii="Arial" w:eastAsia="Arial" w:hAnsi="Arial" w:cs="Arial"/>
          <w:sz w:val="22"/>
          <w:szCs w:val="22"/>
        </w:rPr>
        <w:t xml:space="preserve">pueda </w:t>
      </w:r>
      <w:r w:rsidR="00DF7F60">
        <w:rPr>
          <w:rStyle w:val="Fuentedeprrafopredeter1"/>
          <w:rFonts w:ascii="Arial" w:eastAsia="Arial" w:hAnsi="Arial" w:cs="Arial"/>
          <w:sz w:val="22"/>
          <w:szCs w:val="22"/>
        </w:rPr>
        <w:t>prestar</w:t>
      </w:r>
      <w:r w:rsidRPr="002D1E13">
        <w:rPr>
          <w:rStyle w:val="Fuentedeprrafopredeter1"/>
          <w:rFonts w:ascii="Arial" w:eastAsia="Arial" w:hAnsi="Arial" w:cs="Arial"/>
          <w:sz w:val="22"/>
          <w:szCs w:val="22"/>
        </w:rPr>
        <w:t xml:space="preserve"> las labores de vigilancia en la bahía y que ambas pueden beneficiarse de su participación en las comisiones que se creen con el fin de mejorar la coordinación y eficacia.</w:t>
      </w:r>
    </w:p>
    <w:p w14:paraId="258DE501" w14:textId="77777777" w:rsidR="002D1E13" w:rsidRDefault="002D1E13" w:rsidP="00BF6087">
      <w:pPr>
        <w:spacing w:line="276" w:lineRule="auto"/>
        <w:jc w:val="both"/>
        <w:rPr>
          <w:rStyle w:val="Fuentedeprrafopredeter1"/>
          <w:rFonts w:ascii="Arial" w:eastAsia="Arial" w:hAnsi="Arial" w:cs="Arial"/>
          <w:sz w:val="22"/>
          <w:szCs w:val="22"/>
        </w:rPr>
      </w:pPr>
    </w:p>
    <w:p w14:paraId="23F0B937" w14:textId="414969E7" w:rsidR="007F584E" w:rsidRDefault="002D1E13" w:rsidP="00BF6087">
      <w:pPr>
        <w:spacing w:line="276" w:lineRule="auto"/>
        <w:jc w:val="both"/>
        <w:rPr>
          <w:rFonts w:ascii="Arial" w:eastAsia="Arial" w:hAnsi="Arial" w:cs="Arial"/>
          <w:sz w:val="22"/>
          <w:szCs w:val="22"/>
        </w:rPr>
      </w:pPr>
      <w:r>
        <w:rPr>
          <w:rFonts w:ascii="Arial" w:eastAsia="Arial" w:hAnsi="Arial" w:cs="Arial"/>
          <w:sz w:val="22"/>
          <w:szCs w:val="22"/>
        </w:rPr>
        <w:t>El alcalde Jon Insausti ha subrayado que “este acuerdo es una muestra más de la importancia de la colaboración entre instituciones para mejorar los servicios de cara a la ciudadanía, en este caso el de la seguridad en un lugar tan clave como la bahía</w:t>
      </w:r>
      <w:r w:rsidR="007F584E">
        <w:rPr>
          <w:rFonts w:ascii="Arial" w:eastAsia="Arial" w:hAnsi="Arial" w:cs="Arial"/>
          <w:sz w:val="22"/>
          <w:szCs w:val="22"/>
        </w:rPr>
        <w:t>”.</w:t>
      </w:r>
    </w:p>
    <w:p w14:paraId="05AE8153" w14:textId="77777777" w:rsidR="007F584E" w:rsidRDefault="007F584E" w:rsidP="00BF6087">
      <w:pPr>
        <w:spacing w:line="276" w:lineRule="auto"/>
        <w:jc w:val="both"/>
        <w:rPr>
          <w:rFonts w:ascii="Arial" w:eastAsia="Arial" w:hAnsi="Arial" w:cs="Arial"/>
          <w:sz w:val="22"/>
          <w:szCs w:val="22"/>
        </w:rPr>
      </w:pPr>
    </w:p>
    <w:p w14:paraId="724DD757" w14:textId="67A7790B" w:rsidR="002D1E13" w:rsidRDefault="007F584E" w:rsidP="00BF6087">
      <w:pPr>
        <w:spacing w:line="276" w:lineRule="auto"/>
        <w:jc w:val="both"/>
        <w:rPr>
          <w:rFonts w:ascii="Arial" w:eastAsia="Arial" w:hAnsi="Arial" w:cs="Arial"/>
          <w:sz w:val="22"/>
          <w:szCs w:val="22"/>
        </w:rPr>
      </w:pPr>
      <w:r>
        <w:rPr>
          <w:rFonts w:ascii="Arial" w:eastAsia="Arial" w:hAnsi="Arial" w:cs="Arial"/>
          <w:sz w:val="22"/>
          <w:szCs w:val="22"/>
        </w:rPr>
        <w:t>Gracias este convenio,</w:t>
      </w:r>
      <w:r w:rsidR="002D1E13">
        <w:rPr>
          <w:rFonts w:ascii="Arial" w:eastAsia="Arial" w:hAnsi="Arial" w:cs="Arial"/>
          <w:sz w:val="22"/>
          <w:szCs w:val="22"/>
        </w:rPr>
        <w:t xml:space="preserve"> </w:t>
      </w:r>
      <w:r>
        <w:rPr>
          <w:rFonts w:ascii="Arial" w:eastAsia="Arial" w:hAnsi="Arial" w:cs="Arial"/>
          <w:sz w:val="22"/>
          <w:szCs w:val="22"/>
        </w:rPr>
        <w:t xml:space="preserve">la </w:t>
      </w:r>
      <w:r w:rsidRPr="007F584E">
        <w:rPr>
          <w:rFonts w:ascii="Arial" w:eastAsia="Arial" w:hAnsi="Arial" w:cs="Arial"/>
          <w:sz w:val="22"/>
          <w:szCs w:val="22"/>
        </w:rPr>
        <w:t xml:space="preserve">Guardia Municipal </w:t>
      </w:r>
      <w:r>
        <w:rPr>
          <w:rFonts w:ascii="Arial" w:eastAsia="Arial" w:hAnsi="Arial" w:cs="Arial"/>
          <w:sz w:val="22"/>
          <w:szCs w:val="22"/>
        </w:rPr>
        <w:t xml:space="preserve">puede contar con un amarre para su </w:t>
      </w:r>
      <w:r w:rsidRPr="007F584E">
        <w:rPr>
          <w:rFonts w:ascii="Arial" w:eastAsia="Arial" w:hAnsi="Arial" w:cs="Arial"/>
          <w:sz w:val="22"/>
          <w:szCs w:val="22"/>
        </w:rPr>
        <w:t>embarcación neumática tipo zodiac</w:t>
      </w:r>
      <w:r>
        <w:rPr>
          <w:rFonts w:ascii="Arial" w:eastAsia="Arial" w:hAnsi="Arial" w:cs="Arial"/>
          <w:sz w:val="22"/>
          <w:szCs w:val="22"/>
        </w:rPr>
        <w:t>, con la que presta un servicio</w:t>
      </w:r>
      <w:r w:rsidRPr="007F584E">
        <w:rPr>
          <w:rFonts w:ascii="Arial" w:eastAsia="Arial" w:hAnsi="Arial" w:cs="Arial"/>
          <w:sz w:val="22"/>
          <w:szCs w:val="22"/>
        </w:rPr>
        <w:t xml:space="preserve"> </w:t>
      </w:r>
      <w:r>
        <w:rPr>
          <w:rFonts w:ascii="Arial" w:eastAsia="Arial" w:hAnsi="Arial" w:cs="Arial"/>
          <w:sz w:val="22"/>
          <w:szCs w:val="22"/>
        </w:rPr>
        <w:t>de</w:t>
      </w:r>
      <w:r w:rsidRPr="007F584E">
        <w:rPr>
          <w:rFonts w:ascii="Arial" w:eastAsia="Arial" w:hAnsi="Arial" w:cs="Arial"/>
          <w:sz w:val="22"/>
          <w:szCs w:val="22"/>
        </w:rPr>
        <w:t xml:space="preserve"> especial relevancia por su carácter específico, destacando su intervención en dispositivos de seguridad y apoyo durante pruebas de natación, regatas de traineras, operaciones de rescate de bañistas en la Bahía de La Concha y, en general, en aquellas actuaciones relacionadas con el control y la garantía de la seguridad en el medio acuático dentro del ámbito de la Bahía de La Concha y la desembocadura del río Urumea.</w:t>
      </w:r>
    </w:p>
    <w:p w14:paraId="7AB77AC2" w14:textId="77777777" w:rsidR="00BF6087" w:rsidRDefault="00BF6087" w:rsidP="00BF6087">
      <w:pPr>
        <w:spacing w:line="276" w:lineRule="auto"/>
        <w:jc w:val="both"/>
        <w:rPr>
          <w:rFonts w:ascii="Arial" w:eastAsia="Arial" w:hAnsi="Arial" w:cs="Arial"/>
          <w:sz w:val="22"/>
          <w:szCs w:val="22"/>
        </w:rPr>
      </w:pPr>
    </w:p>
    <w:p w14:paraId="0E0B2FA6" w14:textId="7C853591" w:rsidR="00BF6087" w:rsidRDefault="00BF6087" w:rsidP="00BF6087">
      <w:pPr>
        <w:spacing w:line="276" w:lineRule="auto"/>
        <w:jc w:val="both"/>
        <w:rPr>
          <w:rFonts w:ascii="Arial" w:eastAsia="Arial" w:hAnsi="Arial" w:cs="Arial"/>
          <w:sz w:val="22"/>
          <w:szCs w:val="22"/>
        </w:rPr>
      </w:pPr>
      <w:r>
        <w:rPr>
          <w:rFonts w:ascii="Arial" w:eastAsia="Arial" w:hAnsi="Arial" w:cs="Arial"/>
          <w:sz w:val="22"/>
          <w:szCs w:val="22"/>
        </w:rPr>
        <w:t xml:space="preserve">Además, ambas instituciones se comprometen a trabajar conjuntamente </w:t>
      </w:r>
      <w:r w:rsidRPr="00BF6087">
        <w:rPr>
          <w:rFonts w:ascii="Arial" w:eastAsia="Arial" w:hAnsi="Arial" w:cs="Arial"/>
          <w:sz w:val="22"/>
          <w:szCs w:val="22"/>
        </w:rPr>
        <w:t>en las comisiones o grupos de trabajo que pudieran constituirse en materias relacionadas con las emergencias extraordinarias</w:t>
      </w:r>
      <w:r>
        <w:rPr>
          <w:rFonts w:ascii="Arial" w:eastAsia="Arial" w:hAnsi="Arial" w:cs="Arial"/>
          <w:sz w:val="22"/>
          <w:szCs w:val="22"/>
        </w:rPr>
        <w:t xml:space="preserve"> en este entorno.</w:t>
      </w:r>
    </w:p>
    <w:p w14:paraId="47F4437B" w14:textId="77777777" w:rsidR="00BF6087" w:rsidRDefault="00BF6087" w:rsidP="00BF6087">
      <w:pPr>
        <w:spacing w:line="276" w:lineRule="auto"/>
        <w:jc w:val="both"/>
        <w:rPr>
          <w:rFonts w:ascii="Arial" w:eastAsia="Arial" w:hAnsi="Arial" w:cs="Arial"/>
          <w:sz w:val="22"/>
          <w:szCs w:val="22"/>
        </w:rPr>
      </w:pPr>
    </w:p>
    <w:p w14:paraId="6A84D3D3" w14:textId="0075FF41" w:rsidR="00BF6087" w:rsidRDefault="00BF6087" w:rsidP="00BF6087">
      <w:pPr>
        <w:spacing w:line="276" w:lineRule="auto"/>
        <w:jc w:val="both"/>
        <w:rPr>
          <w:rFonts w:ascii="Arial" w:eastAsia="Arial" w:hAnsi="Arial" w:cs="Arial"/>
          <w:b/>
          <w:bCs/>
          <w:sz w:val="22"/>
          <w:szCs w:val="22"/>
        </w:rPr>
      </w:pPr>
      <w:r w:rsidRPr="00BF6087">
        <w:rPr>
          <w:rFonts w:ascii="Arial" w:eastAsia="Arial" w:hAnsi="Arial" w:cs="Arial"/>
          <w:b/>
          <w:bCs/>
          <w:sz w:val="22"/>
          <w:szCs w:val="22"/>
        </w:rPr>
        <w:t>Vehículos Guardia Municipal</w:t>
      </w:r>
    </w:p>
    <w:p w14:paraId="0349F7FF" w14:textId="77777777" w:rsidR="00BF6087" w:rsidRDefault="00BF6087" w:rsidP="00BF6087">
      <w:pPr>
        <w:spacing w:line="276" w:lineRule="auto"/>
        <w:jc w:val="both"/>
        <w:rPr>
          <w:rFonts w:ascii="Arial" w:eastAsia="Arial" w:hAnsi="Arial" w:cs="Arial"/>
          <w:b/>
          <w:bCs/>
          <w:sz w:val="22"/>
          <w:szCs w:val="22"/>
        </w:rPr>
      </w:pPr>
    </w:p>
    <w:p w14:paraId="04893D69" w14:textId="35425BC7" w:rsidR="00BF6087" w:rsidRDefault="00BF6087" w:rsidP="00BF6087">
      <w:pPr>
        <w:spacing w:line="276" w:lineRule="auto"/>
        <w:jc w:val="both"/>
        <w:rPr>
          <w:rFonts w:ascii="Arial" w:eastAsia="Arial" w:hAnsi="Arial" w:cs="Arial"/>
          <w:sz w:val="22"/>
          <w:szCs w:val="22"/>
        </w:rPr>
      </w:pPr>
      <w:r w:rsidRPr="00BF6087">
        <w:rPr>
          <w:rFonts w:ascii="Arial" w:eastAsia="Arial" w:hAnsi="Arial" w:cs="Arial"/>
          <w:sz w:val="22"/>
          <w:szCs w:val="22"/>
        </w:rPr>
        <w:t>Además de</w:t>
      </w:r>
      <w:r>
        <w:rPr>
          <w:rFonts w:ascii="Arial" w:eastAsia="Arial" w:hAnsi="Arial" w:cs="Arial"/>
          <w:sz w:val="22"/>
          <w:szCs w:val="22"/>
        </w:rPr>
        <w:t xml:space="preserve"> este acuerdo, la Junta de Gobierno Local ha aprobado </w:t>
      </w:r>
      <w:r w:rsidRPr="00BF6087">
        <w:rPr>
          <w:rFonts w:ascii="Arial" w:eastAsia="Arial" w:hAnsi="Arial" w:cs="Arial"/>
          <w:sz w:val="22"/>
          <w:szCs w:val="22"/>
        </w:rPr>
        <w:t>el expediente para la contratación del</w:t>
      </w:r>
      <w:r>
        <w:rPr>
          <w:rFonts w:ascii="Arial" w:eastAsia="Arial" w:hAnsi="Arial" w:cs="Arial"/>
          <w:sz w:val="22"/>
          <w:szCs w:val="22"/>
        </w:rPr>
        <w:t xml:space="preserve"> s</w:t>
      </w:r>
      <w:r w:rsidRPr="00BF6087">
        <w:rPr>
          <w:rFonts w:ascii="Arial" w:eastAsia="Arial" w:hAnsi="Arial" w:cs="Arial"/>
          <w:sz w:val="22"/>
          <w:szCs w:val="22"/>
        </w:rPr>
        <w:t>uministro mediante sistema de renting de cuatro</w:t>
      </w:r>
      <w:r>
        <w:rPr>
          <w:rFonts w:ascii="Arial" w:eastAsia="Arial" w:hAnsi="Arial" w:cs="Arial"/>
          <w:sz w:val="22"/>
          <w:szCs w:val="22"/>
        </w:rPr>
        <w:t xml:space="preserve"> </w:t>
      </w:r>
      <w:r w:rsidRPr="00BF6087">
        <w:rPr>
          <w:rFonts w:ascii="Arial" w:eastAsia="Arial" w:hAnsi="Arial" w:cs="Arial"/>
          <w:sz w:val="22"/>
          <w:szCs w:val="22"/>
        </w:rPr>
        <w:t xml:space="preserve">vehículos coches patrulla con destino a la </w:t>
      </w:r>
      <w:r>
        <w:rPr>
          <w:rFonts w:ascii="Arial" w:eastAsia="Arial" w:hAnsi="Arial" w:cs="Arial"/>
          <w:sz w:val="22"/>
          <w:szCs w:val="22"/>
        </w:rPr>
        <w:t>G</w:t>
      </w:r>
      <w:r w:rsidRPr="00BF6087">
        <w:rPr>
          <w:rFonts w:ascii="Arial" w:eastAsia="Arial" w:hAnsi="Arial" w:cs="Arial"/>
          <w:sz w:val="22"/>
          <w:szCs w:val="22"/>
        </w:rPr>
        <w:t>uardia</w:t>
      </w:r>
      <w:r>
        <w:rPr>
          <w:rFonts w:ascii="Arial" w:eastAsia="Arial" w:hAnsi="Arial" w:cs="Arial"/>
          <w:sz w:val="22"/>
          <w:szCs w:val="22"/>
        </w:rPr>
        <w:t xml:space="preserve"> M</w:t>
      </w:r>
      <w:r w:rsidRPr="00BF6087">
        <w:rPr>
          <w:rFonts w:ascii="Arial" w:eastAsia="Arial" w:hAnsi="Arial" w:cs="Arial"/>
          <w:sz w:val="22"/>
          <w:szCs w:val="22"/>
        </w:rPr>
        <w:t>unicipal,</w:t>
      </w:r>
      <w:r>
        <w:rPr>
          <w:rFonts w:ascii="Arial" w:eastAsia="Arial" w:hAnsi="Arial" w:cs="Arial"/>
          <w:sz w:val="22"/>
          <w:szCs w:val="22"/>
        </w:rPr>
        <w:t xml:space="preserve"> con un</w:t>
      </w:r>
      <w:r w:rsidRPr="00BF6087">
        <w:rPr>
          <w:rFonts w:ascii="Arial" w:eastAsia="Arial" w:hAnsi="Arial" w:cs="Arial"/>
          <w:sz w:val="22"/>
          <w:szCs w:val="22"/>
        </w:rPr>
        <w:t xml:space="preserve"> presupuesto base de licitación de 66.792 € </w:t>
      </w:r>
      <w:r>
        <w:rPr>
          <w:rFonts w:ascii="Arial" w:eastAsia="Arial" w:hAnsi="Arial" w:cs="Arial"/>
          <w:sz w:val="22"/>
          <w:szCs w:val="22"/>
        </w:rPr>
        <w:t>y un plazo</w:t>
      </w:r>
      <w:r w:rsidRPr="00BF6087">
        <w:rPr>
          <w:rFonts w:ascii="Arial" w:eastAsia="Arial" w:hAnsi="Arial" w:cs="Arial"/>
          <w:sz w:val="22"/>
          <w:szCs w:val="22"/>
        </w:rPr>
        <w:t xml:space="preserve"> de 5 años</w:t>
      </w:r>
      <w:r>
        <w:rPr>
          <w:rFonts w:ascii="Arial" w:eastAsia="Arial" w:hAnsi="Arial" w:cs="Arial"/>
          <w:sz w:val="22"/>
          <w:szCs w:val="22"/>
        </w:rPr>
        <w:t xml:space="preserve">. </w:t>
      </w:r>
    </w:p>
    <w:p w14:paraId="0306B1A8" w14:textId="77777777" w:rsidR="00BF6087" w:rsidRDefault="00BF6087" w:rsidP="00BF6087">
      <w:pPr>
        <w:spacing w:line="276" w:lineRule="auto"/>
        <w:jc w:val="both"/>
        <w:rPr>
          <w:rFonts w:ascii="Arial" w:eastAsia="Arial" w:hAnsi="Arial" w:cs="Arial"/>
          <w:sz w:val="22"/>
          <w:szCs w:val="22"/>
        </w:rPr>
      </w:pPr>
    </w:p>
    <w:p w14:paraId="764A4ED2" w14:textId="6296E6A8" w:rsidR="00BF6087" w:rsidRDefault="00BF6087" w:rsidP="00BF6087">
      <w:pPr>
        <w:spacing w:line="276" w:lineRule="auto"/>
        <w:jc w:val="both"/>
        <w:rPr>
          <w:rFonts w:ascii="Arial" w:eastAsia="Arial" w:hAnsi="Arial" w:cs="Arial"/>
          <w:sz w:val="22"/>
          <w:szCs w:val="22"/>
        </w:rPr>
      </w:pPr>
      <w:r w:rsidRPr="00BF6087">
        <w:rPr>
          <w:rFonts w:ascii="Arial" w:eastAsia="Arial" w:hAnsi="Arial" w:cs="Arial"/>
          <w:sz w:val="22"/>
          <w:szCs w:val="22"/>
        </w:rPr>
        <w:t>El suministro de estos vehículos responde a la</w:t>
      </w:r>
      <w:r>
        <w:rPr>
          <w:rFonts w:ascii="Arial" w:eastAsia="Arial" w:hAnsi="Arial" w:cs="Arial"/>
          <w:sz w:val="22"/>
          <w:szCs w:val="22"/>
        </w:rPr>
        <w:t xml:space="preserve"> </w:t>
      </w:r>
      <w:r w:rsidRPr="00BF6087">
        <w:rPr>
          <w:rFonts w:ascii="Arial" w:eastAsia="Arial" w:hAnsi="Arial" w:cs="Arial"/>
          <w:sz w:val="22"/>
          <w:szCs w:val="22"/>
        </w:rPr>
        <w:t>necesidad de renovación y ampliación de la flota de</w:t>
      </w:r>
      <w:r>
        <w:rPr>
          <w:rFonts w:ascii="Arial" w:eastAsia="Arial" w:hAnsi="Arial" w:cs="Arial"/>
          <w:sz w:val="22"/>
          <w:szCs w:val="22"/>
        </w:rPr>
        <w:t xml:space="preserve"> </w:t>
      </w:r>
      <w:r w:rsidRPr="00BF6087">
        <w:rPr>
          <w:rFonts w:ascii="Arial" w:eastAsia="Arial" w:hAnsi="Arial" w:cs="Arial"/>
          <w:sz w:val="22"/>
          <w:szCs w:val="22"/>
        </w:rPr>
        <w:t>vehículos patrulla de la Guardia Municipal</w:t>
      </w:r>
      <w:r>
        <w:rPr>
          <w:rFonts w:ascii="Arial" w:eastAsia="Arial" w:hAnsi="Arial" w:cs="Arial"/>
          <w:sz w:val="22"/>
          <w:szCs w:val="22"/>
        </w:rPr>
        <w:t>, ayudando a su vez a</w:t>
      </w:r>
      <w:r w:rsidRPr="00BF6087">
        <w:rPr>
          <w:rFonts w:ascii="Arial" w:eastAsia="Arial" w:hAnsi="Arial" w:cs="Arial"/>
          <w:sz w:val="22"/>
          <w:szCs w:val="22"/>
        </w:rPr>
        <w:t xml:space="preserve"> reducir </w:t>
      </w:r>
      <w:r>
        <w:rPr>
          <w:rFonts w:ascii="Arial" w:eastAsia="Arial" w:hAnsi="Arial" w:cs="Arial"/>
          <w:sz w:val="22"/>
          <w:szCs w:val="22"/>
        </w:rPr>
        <w:t xml:space="preserve">el </w:t>
      </w:r>
      <w:r w:rsidRPr="00BF6087">
        <w:rPr>
          <w:rFonts w:ascii="Arial" w:eastAsia="Arial" w:hAnsi="Arial" w:cs="Arial"/>
          <w:sz w:val="22"/>
          <w:szCs w:val="22"/>
        </w:rPr>
        <w:t xml:space="preserve">impacto ambiental negativo y </w:t>
      </w:r>
      <w:r>
        <w:rPr>
          <w:rFonts w:ascii="Arial" w:eastAsia="Arial" w:hAnsi="Arial" w:cs="Arial"/>
          <w:sz w:val="22"/>
          <w:szCs w:val="22"/>
        </w:rPr>
        <w:t>a</w:t>
      </w:r>
      <w:r w:rsidRPr="00BF6087">
        <w:rPr>
          <w:rFonts w:ascii="Arial" w:eastAsia="Arial" w:hAnsi="Arial" w:cs="Arial"/>
          <w:sz w:val="22"/>
          <w:szCs w:val="22"/>
        </w:rPr>
        <w:t>l desarrollo de</w:t>
      </w:r>
      <w:r>
        <w:rPr>
          <w:rFonts w:ascii="Arial" w:eastAsia="Arial" w:hAnsi="Arial" w:cs="Arial"/>
          <w:sz w:val="22"/>
          <w:szCs w:val="22"/>
        </w:rPr>
        <w:t xml:space="preserve"> </w:t>
      </w:r>
      <w:r w:rsidRPr="00BF6087">
        <w:rPr>
          <w:rFonts w:ascii="Arial" w:eastAsia="Arial" w:hAnsi="Arial" w:cs="Arial"/>
          <w:sz w:val="22"/>
          <w:szCs w:val="22"/>
        </w:rPr>
        <w:t>las tareas de mantenimiento de manera más</w:t>
      </w:r>
      <w:r>
        <w:rPr>
          <w:rFonts w:ascii="Arial" w:eastAsia="Arial" w:hAnsi="Arial" w:cs="Arial"/>
          <w:sz w:val="22"/>
          <w:szCs w:val="22"/>
        </w:rPr>
        <w:t xml:space="preserve"> </w:t>
      </w:r>
      <w:r w:rsidRPr="00BF6087">
        <w:rPr>
          <w:rFonts w:ascii="Arial" w:eastAsia="Arial" w:hAnsi="Arial" w:cs="Arial"/>
          <w:sz w:val="22"/>
          <w:szCs w:val="22"/>
        </w:rPr>
        <w:t>respetuosa con el medio ambiente.</w:t>
      </w:r>
    </w:p>
    <w:p w14:paraId="12A5324D" w14:textId="77777777" w:rsidR="00C94DCE" w:rsidRDefault="00C94DCE" w:rsidP="00BF6087">
      <w:pPr>
        <w:spacing w:line="276" w:lineRule="auto"/>
        <w:jc w:val="both"/>
        <w:rPr>
          <w:rFonts w:ascii="Arial" w:eastAsia="Arial" w:hAnsi="Arial" w:cs="Arial"/>
          <w:sz w:val="22"/>
          <w:szCs w:val="22"/>
        </w:rPr>
      </w:pPr>
    </w:p>
    <w:p w14:paraId="767E1715" w14:textId="1C9F4624" w:rsidR="00C94DCE" w:rsidRPr="00C94DCE" w:rsidRDefault="00C94DCE" w:rsidP="00BF6087">
      <w:pPr>
        <w:spacing w:line="276" w:lineRule="auto"/>
        <w:jc w:val="both"/>
        <w:rPr>
          <w:rFonts w:ascii="Arial" w:eastAsia="Arial" w:hAnsi="Arial" w:cs="Arial"/>
          <w:b/>
          <w:bCs/>
          <w:sz w:val="22"/>
          <w:szCs w:val="22"/>
        </w:rPr>
      </w:pPr>
      <w:r w:rsidRPr="00C94DCE">
        <w:rPr>
          <w:rFonts w:ascii="Arial" w:eastAsia="Arial" w:hAnsi="Arial" w:cs="Arial"/>
          <w:b/>
          <w:bCs/>
          <w:sz w:val="22"/>
          <w:szCs w:val="22"/>
        </w:rPr>
        <w:t>Derribo del Instituto de la Construcción</w:t>
      </w:r>
    </w:p>
    <w:p w14:paraId="6948CF88" w14:textId="77777777" w:rsidR="00C94DCE" w:rsidRDefault="00C94DCE" w:rsidP="00BF6087">
      <w:pPr>
        <w:spacing w:line="276" w:lineRule="auto"/>
        <w:jc w:val="both"/>
        <w:rPr>
          <w:rFonts w:ascii="Arial" w:eastAsia="Arial" w:hAnsi="Arial" w:cs="Arial"/>
          <w:sz w:val="22"/>
          <w:szCs w:val="22"/>
        </w:rPr>
      </w:pPr>
    </w:p>
    <w:p w14:paraId="45DEBF66" w14:textId="1AA1AFA0" w:rsidR="00C94DCE" w:rsidRPr="00BF6087" w:rsidRDefault="00C94DCE" w:rsidP="00BF6087">
      <w:pPr>
        <w:spacing w:line="276" w:lineRule="auto"/>
        <w:jc w:val="both"/>
        <w:rPr>
          <w:rFonts w:ascii="Arial" w:eastAsia="Arial" w:hAnsi="Arial" w:cs="Arial"/>
          <w:sz w:val="22"/>
          <w:szCs w:val="22"/>
        </w:rPr>
      </w:pPr>
      <w:r>
        <w:rPr>
          <w:rFonts w:ascii="Arial" w:eastAsia="Arial" w:hAnsi="Arial" w:cs="Arial"/>
          <w:sz w:val="22"/>
          <w:szCs w:val="22"/>
        </w:rPr>
        <w:t xml:space="preserve">Por otra parte, al margen de los asuntos de la Junta de Gobierno Local, el alcalde ha anunciado que el Ayuntamiento ha firmado la licencia de derribo del Institiuto de la Construcción, edificio ubicado en Altza y propiedad de Kutxa Fundazioa. Jon Insausti ha avanzado que “pronto entrarán las máquinas para demoler el edificio” y ha </w:t>
      </w:r>
      <w:r>
        <w:rPr>
          <w:rFonts w:ascii="Arial" w:eastAsia="Arial" w:hAnsi="Arial" w:cs="Arial"/>
          <w:sz w:val="22"/>
          <w:szCs w:val="22"/>
        </w:rPr>
        <w:lastRenderedPageBreak/>
        <w:t>reiterado “mi compromiso con la regeneración del barrio, para lo cual estoy en contacto permanente con vecinos y propietarios de los edificios del entorno y estamos dando paso tras paso con la mayor celeridad posible”.</w:t>
      </w:r>
    </w:p>
    <w:p w14:paraId="40BBFACE" w14:textId="77777777" w:rsidR="002D1E13" w:rsidRDefault="002D1E13" w:rsidP="006F2670">
      <w:pPr>
        <w:spacing w:line="276" w:lineRule="auto"/>
        <w:jc w:val="both"/>
        <w:rPr>
          <w:rFonts w:ascii="Arial" w:eastAsia="Arial" w:hAnsi="Arial" w:cs="Arial"/>
          <w:sz w:val="22"/>
          <w:szCs w:val="22"/>
        </w:rPr>
      </w:pPr>
    </w:p>
    <w:p w14:paraId="2BD82B27" w14:textId="2AC1E0DF" w:rsidR="00A47A86" w:rsidRDefault="008A1FAC">
      <w:pPr>
        <w:spacing w:line="276" w:lineRule="auto"/>
        <w:jc w:val="right"/>
      </w:pPr>
      <w:r>
        <w:rPr>
          <w:rStyle w:val="Fuentedeprrafopredeter1"/>
          <w:rFonts w:ascii="Arial" w:eastAsia="Arial" w:hAnsi="Arial" w:cs="Liberation Serif"/>
          <w:sz w:val="22"/>
          <w:szCs w:val="22"/>
        </w:rPr>
        <w:t xml:space="preserve">Donostia / San Sebastián, </w:t>
      </w:r>
      <w:r w:rsidR="006F2670">
        <w:rPr>
          <w:rStyle w:val="Fuentedeprrafopredeter1"/>
          <w:rFonts w:ascii="Arial" w:eastAsia="Arial" w:hAnsi="Arial" w:cs="Liberation Serif"/>
          <w:sz w:val="22"/>
          <w:szCs w:val="22"/>
        </w:rPr>
        <w:t>23</w:t>
      </w:r>
      <w:r>
        <w:rPr>
          <w:rStyle w:val="Fuentedeprrafopredeter1"/>
          <w:rFonts w:ascii="Arial" w:eastAsia="Arial" w:hAnsi="Arial" w:cs="Liberation Serif"/>
          <w:sz w:val="22"/>
          <w:szCs w:val="22"/>
        </w:rPr>
        <w:t xml:space="preserve"> de junio de 2026</w:t>
      </w:r>
    </w:p>
    <w:p w14:paraId="1EFC3476" w14:textId="77777777" w:rsidR="00A47A86" w:rsidRDefault="00A47A86">
      <w:pPr>
        <w:spacing w:line="276" w:lineRule="auto"/>
        <w:jc w:val="right"/>
        <w:rPr>
          <w:rFonts w:ascii="Arial" w:eastAsia="Arial" w:hAnsi="Arial" w:cs="Liberation Serif"/>
          <w:sz w:val="22"/>
          <w:szCs w:val="22"/>
        </w:rPr>
      </w:pPr>
    </w:p>
    <w:p w14:paraId="4C755CAC" w14:textId="77777777" w:rsidR="00A47A86" w:rsidRDefault="00A47A86">
      <w:pPr>
        <w:spacing w:line="276" w:lineRule="auto"/>
        <w:jc w:val="right"/>
        <w:rPr>
          <w:rFonts w:ascii="Arial" w:eastAsia="Arial" w:hAnsi="Arial" w:cs="Liberation Serif"/>
          <w:sz w:val="22"/>
          <w:szCs w:val="22"/>
        </w:rPr>
      </w:pPr>
    </w:p>
    <w:p w14:paraId="4D71091A" w14:textId="77777777" w:rsidR="00A47A86" w:rsidRDefault="00A47A86">
      <w:pPr>
        <w:spacing w:line="276" w:lineRule="auto"/>
        <w:jc w:val="right"/>
      </w:pPr>
    </w:p>
    <w:sectPr w:rsidR="00A47A86">
      <w:headerReference w:type="even" r:id="rId6"/>
      <w:headerReference w:type="default" r:id="rId7"/>
      <w:headerReference w:type="first" r:id="rId8"/>
      <w:pgSz w:w="11906" w:h="16838"/>
      <w:pgMar w:top="2269" w:right="1586" w:bottom="851" w:left="1935"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65E1" w14:textId="77777777" w:rsidR="001025B0" w:rsidRDefault="001025B0">
      <w:r>
        <w:separator/>
      </w:r>
    </w:p>
  </w:endnote>
  <w:endnote w:type="continuationSeparator" w:id="0">
    <w:p w14:paraId="2BF19B2D" w14:textId="77777777" w:rsidR="001025B0" w:rsidRDefault="0010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934C0" w14:textId="77777777" w:rsidR="001025B0" w:rsidRDefault="001025B0">
      <w:r>
        <w:separator/>
      </w:r>
    </w:p>
  </w:footnote>
  <w:footnote w:type="continuationSeparator" w:id="0">
    <w:p w14:paraId="10737224" w14:textId="77777777" w:rsidR="001025B0" w:rsidRDefault="00102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7860" w14:textId="77777777" w:rsidR="00A47A86" w:rsidRDefault="00A47A86">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A4BE" w14:textId="77777777" w:rsidR="00A47A86" w:rsidRDefault="008A1FAC">
    <w:pPr>
      <w:pStyle w:val="Goiburua"/>
      <w:rPr>
        <w:lang w:val="eu-ES" w:eastAsia="eu-ES"/>
      </w:rPr>
    </w:pPr>
    <w:r>
      <w:rPr>
        <w:noProof/>
      </w:rPr>
      <w:drawing>
        <wp:anchor distT="0" distB="0" distL="0" distR="0" simplePos="0" relativeHeight="251657216" behindDoc="1" locked="0" layoutInCell="1" allowOverlap="1" wp14:anchorId="1FA0E925" wp14:editId="7B1CF932">
          <wp:simplePos x="0" y="0"/>
          <wp:positionH relativeFrom="column">
            <wp:posOffset>-1219200</wp:posOffset>
          </wp:positionH>
          <wp:positionV relativeFrom="paragraph">
            <wp:posOffset>-447675</wp:posOffset>
          </wp:positionV>
          <wp:extent cx="7548880" cy="1273175"/>
          <wp:effectExtent l="0" t="0" r="0" b="0"/>
          <wp:wrapNone/>
          <wp:docPr id="1" name="Irud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udia1"/>
                  <pic:cNvPicPr>
                    <a:picLocks noChangeAspect="1" noChangeArrowheads="1"/>
                  </pic:cNvPicPr>
                </pic:nvPicPr>
                <pic:blipFill>
                  <a:blip r:embed="rId1"/>
                  <a:srcRect l="-41" t="-254" r="-41" b="-254"/>
                  <a:stretch>
                    <a:fillRect/>
                  </a:stretch>
                </pic:blipFill>
                <pic:spPr bwMode="auto">
                  <a:xfrm>
                    <a:off x="0" y="0"/>
                    <a:ext cx="7548880" cy="1273175"/>
                  </a:xfrm>
                  <a:prstGeom prst="rect">
                    <a:avLst/>
                  </a:prstGeom>
                </pic:spPr>
              </pic:pic>
            </a:graphicData>
          </a:graphic>
        </wp:anchor>
      </w:drawing>
    </w:r>
    <w:r>
      <w:rPr>
        <w:lang w:val="eu-ES" w:eastAsia="eu-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40EF" w14:textId="77777777" w:rsidR="00A47A86" w:rsidRDefault="008A1FAC">
    <w:pPr>
      <w:pStyle w:val="Goiburua"/>
      <w:rPr>
        <w:lang w:val="eu-ES" w:eastAsia="eu-ES"/>
      </w:rPr>
    </w:pPr>
    <w:r>
      <w:rPr>
        <w:noProof/>
      </w:rPr>
      <w:drawing>
        <wp:anchor distT="0" distB="0" distL="0" distR="0" simplePos="0" relativeHeight="251658240" behindDoc="1" locked="0" layoutInCell="1" allowOverlap="1" wp14:anchorId="2190DB51" wp14:editId="4D3A787C">
          <wp:simplePos x="0" y="0"/>
          <wp:positionH relativeFrom="column">
            <wp:posOffset>-1219200</wp:posOffset>
          </wp:positionH>
          <wp:positionV relativeFrom="paragraph">
            <wp:posOffset>-447675</wp:posOffset>
          </wp:positionV>
          <wp:extent cx="7548880" cy="1273175"/>
          <wp:effectExtent l="0" t="0" r="0" b="0"/>
          <wp:wrapNone/>
          <wp:docPr id="2" name="Irud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udia1"/>
                  <pic:cNvPicPr>
                    <a:picLocks noChangeAspect="1" noChangeArrowheads="1"/>
                  </pic:cNvPicPr>
                </pic:nvPicPr>
                <pic:blipFill>
                  <a:blip r:embed="rId1"/>
                  <a:srcRect l="-41" t="-254" r="-41" b="-254"/>
                  <a:stretch>
                    <a:fillRect/>
                  </a:stretch>
                </pic:blipFill>
                <pic:spPr bwMode="auto">
                  <a:xfrm>
                    <a:off x="0" y="0"/>
                    <a:ext cx="7548880" cy="1273175"/>
                  </a:xfrm>
                  <a:prstGeom prst="rect">
                    <a:avLst/>
                  </a:prstGeom>
                </pic:spPr>
              </pic:pic>
            </a:graphicData>
          </a:graphic>
        </wp:anchor>
      </w:drawing>
    </w:r>
    <w:r>
      <w:rPr>
        <w:lang w:val="eu-ES" w:eastAsia="eu-E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86"/>
    <w:rsid w:val="001025B0"/>
    <w:rsid w:val="002D1E13"/>
    <w:rsid w:val="002F31F0"/>
    <w:rsid w:val="00400990"/>
    <w:rsid w:val="00664334"/>
    <w:rsid w:val="006F2670"/>
    <w:rsid w:val="0071017B"/>
    <w:rsid w:val="0072063C"/>
    <w:rsid w:val="007F584E"/>
    <w:rsid w:val="008A1FAC"/>
    <w:rsid w:val="008B78B6"/>
    <w:rsid w:val="008E2D8B"/>
    <w:rsid w:val="009A29E3"/>
    <w:rsid w:val="00A47A86"/>
    <w:rsid w:val="00AB55E6"/>
    <w:rsid w:val="00BF6087"/>
    <w:rsid w:val="00C94DCE"/>
    <w:rsid w:val="00DF7F60"/>
    <w:rsid w:val="00F41CB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AF20"/>
  <w15:docId w15:val="{0FB312CD-31C6-4533-943D-5B2932CA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u-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Pr>
      <w:rFonts w:ascii="Times New Roman" w:eastAsia="Times New Roman" w:hAnsi="Times New Roman" w:cs="Times New Roman"/>
      <w:sz w:val="20"/>
      <w:szCs w:val="20"/>
      <w:lang w:val="es-ES" w:bidi="ar-SA"/>
    </w:rPr>
  </w:style>
  <w:style w:type="paragraph" w:styleId="1izenburua">
    <w:name w:val="heading 1"/>
    <w:basedOn w:val="Normala"/>
    <w:next w:val="Normala"/>
    <w:link w:val="1izenburuaKar"/>
    <w:uiPriority w:val="9"/>
    <w:qFormat/>
    <w:rsid w:val="005A25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izenburua">
    <w:name w:val="heading 2"/>
    <w:basedOn w:val="Ttulo1"/>
    <w:next w:val="Gorputz-testua"/>
    <w:uiPriority w:val="9"/>
    <w:semiHidden/>
    <w:unhideWhenUsed/>
    <w:qFormat/>
    <w:pPr>
      <w:widowControl w:val="0"/>
      <w:spacing w:before="200"/>
      <w:outlineLvl w:val="1"/>
    </w:pPr>
    <w:rPr>
      <w:rFonts w:ascii="Liberation Serif" w:eastAsia="NSimSun" w:hAnsi="Liberation Serif"/>
      <w:b/>
      <w:bCs/>
      <w:sz w:val="36"/>
      <w:szCs w:val="36"/>
      <w:lang w:val="eu-ES" w:bidi="hi-IN"/>
    </w:rPr>
  </w:style>
  <w:style w:type="character" w:default="1" w:styleId="Paragrafoarenletra-tipolehenetsia">
    <w:name w:val="Default Paragraph Font"/>
    <w:uiPriority w:val="1"/>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Fuentedeprrafopredeter1">
    <w:name w:val="Fuente de párrafo predeter.1"/>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styleId="Lodia">
    <w:name w:val="Strong"/>
    <w:qFormat/>
    <w:rPr>
      <w:b/>
      <w:bCs/>
    </w:rPr>
  </w:style>
  <w:style w:type="character" w:customStyle="1" w:styleId="Buletak">
    <w:name w:val="Buletak"/>
    <w:qFormat/>
    <w:rPr>
      <w:rFonts w:ascii="OpenSymbol" w:eastAsia="OpenSymbol" w:hAnsi="OpenSymbol" w:cs="OpenSymbol"/>
    </w:rPr>
  </w:style>
  <w:style w:type="character" w:customStyle="1" w:styleId="EnlacedeInternet">
    <w:name w:val="Enlace de Internet"/>
    <w:qFormat/>
    <w:rPr>
      <w:color w:val="000080"/>
      <w:u w:val="single"/>
    </w:rPr>
  </w:style>
  <w:style w:type="character" w:customStyle="1" w:styleId="Numerazio-ikurrak">
    <w:name w:val="Numerazio-ikurrak"/>
    <w:qFormat/>
  </w:style>
  <w:style w:type="character" w:customStyle="1" w:styleId="Destacado">
    <w:name w:val="Destacado"/>
    <w:qFormat/>
    <w:rPr>
      <w:i/>
      <w:iCs/>
    </w:rPr>
  </w:style>
  <w:style w:type="character" w:styleId="BisitatutakoHiperesteka">
    <w:name w:val="FollowedHyperlink"/>
    <w:qFormat/>
    <w:rPr>
      <w:color w:val="800000"/>
      <w:u w:val="single"/>
    </w:rPr>
  </w:style>
  <w:style w:type="character" w:customStyle="1" w:styleId="Vietas">
    <w:name w:val="Viñetas"/>
    <w:qFormat/>
    <w:rPr>
      <w:rFonts w:ascii="OpenSymbol" w:eastAsia="OpenSymbol" w:hAnsi="OpenSymbol" w:cs="OpenSymbol"/>
    </w:rPr>
  </w:style>
  <w:style w:type="character" w:customStyle="1" w:styleId="1izenburuaKar">
    <w:name w:val="1. izenburua Kar"/>
    <w:basedOn w:val="Paragrafoarenletra-tipolehenetsia"/>
    <w:link w:val="1izenburua"/>
    <w:uiPriority w:val="9"/>
    <w:qFormat/>
    <w:rsid w:val="005A2539"/>
    <w:rPr>
      <w:rFonts w:asciiTheme="majorHAnsi" w:eastAsiaTheme="majorEastAsia" w:hAnsiTheme="majorHAnsi" w:cstheme="majorBidi"/>
      <w:color w:val="2F5496" w:themeColor="accent1" w:themeShade="BF"/>
      <w:sz w:val="32"/>
      <w:szCs w:val="32"/>
      <w:lang w:val="es-ES" w:bidi="ar-SA"/>
    </w:rPr>
  </w:style>
  <w:style w:type="character" w:customStyle="1" w:styleId="form-control-text">
    <w:name w:val="form-control-text"/>
    <w:basedOn w:val="Paragrafoarenletra-tipolehenetsia"/>
    <w:qFormat/>
    <w:rsid w:val="009D024A"/>
  </w:style>
  <w:style w:type="paragraph" w:customStyle="1" w:styleId="Izenburua">
    <w:name w:val="Izenburua"/>
    <w:basedOn w:val="Normala"/>
    <w:next w:val="Gorputz-testua"/>
    <w:qFormat/>
    <w:pPr>
      <w:keepNext/>
      <w:spacing w:before="240" w:after="120"/>
    </w:pPr>
    <w:rPr>
      <w:rFonts w:ascii="Arial" w:eastAsia="Microsoft YaHei" w:hAnsi="Arial" w:cs="Mangal"/>
      <w:sz w:val="28"/>
      <w:szCs w:val="28"/>
    </w:rPr>
  </w:style>
  <w:style w:type="paragraph" w:styleId="Gorputz-testua">
    <w:name w:val="Body Text"/>
    <w:basedOn w:val="Normala"/>
    <w:pPr>
      <w:spacing w:after="120"/>
    </w:pPr>
  </w:style>
  <w:style w:type="paragraph" w:styleId="Zerrenda">
    <w:name w:val="List"/>
    <w:basedOn w:val="Gorputz-testua"/>
    <w:rPr>
      <w:rFonts w:cs="Mangal"/>
    </w:rPr>
  </w:style>
  <w:style w:type="paragraph" w:styleId="Epigrafea">
    <w:name w:val="caption"/>
    <w:basedOn w:val="Normala"/>
    <w:qFormat/>
    <w:pPr>
      <w:suppressLineNumbers/>
      <w:spacing w:before="120" w:after="120"/>
    </w:pPr>
    <w:rPr>
      <w:rFonts w:cs="Mangal"/>
      <w:i/>
      <w:iCs/>
      <w:sz w:val="24"/>
      <w:szCs w:val="24"/>
    </w:rPr>
  </w:style>
  <w:style w:type="paragraph" w:customStyle="1" w:styleId="Indizea">
    <w:name w:val="Indizea"/>
    <w:basedOn w:val="Normala"/>
    <w:qFormat/>
    <w:pPr>
      <w:suppressLineNumbers/>
    </w:pPr>
    <w:rPr>
      <w:rFonts w:cs="Mangal"/>
    </w:rPr>
  </w:style>
  <w:style w:type="paragraph" w:customStyle="1" w:styleId="Ttulo1">
    <w:name w:val="Título1"/>
    <w:basedOn w:val="Normala"/>
    <w:next w:val="Gorputz-testua"/>
    <w:qFormat/>
    <w:pPr>
      <w:keepNext/>
      <w:spacing w:before="240" w:after="120"/>
    </w:pPr>
    <w:rPr>
      <w:rFonts w:ascii="Liberation Sans" w:eastAsia="Microsoft YaHei" w:hAnsi="Liberation Sans" w:cs="Lucida Sans"/>
      <w:sz w:val="28"/>
      <w:szCs w:val="28"/>
    </w:rPr>
  </w:style>
  <w:style w:type="paragraph" w:customStyle="1" w:styleId="ndice">
    <w:name w:val="Índice"/>
    <w:basedOn w:val="Normala"/>
    <w:qFormat/>
    <w:pPr>
      <w:suppressLineNumbers/>
    </w:pPr>
    <w:rPr>
      <w:rFonts w:cs="Lucida Sans"/>
    </w:rPr>
  </w:style>
  <w:style w:type="paragraph" w:customStyle="1" w:styleId="Epgrafe">
    <w:name w:val="Epígrafe"/>
    <w:basedOn w:val="Normala"/>
    <w:qFormat/>
    <w:pPr>
      <w:suppressLineNumbers/>
      <w:spacing w:before="120" w:after="120"/>
    </w:pPr>
    <w:rPr>
      <w:rFonts w:cs="Mangal"/>
      <w:i/>
      <w:iCs/>
      <w:sz w:val="24"/>
      <w:szCs w:val="24"/>
    </w:rPr>
  </w:style>
  <w:style w:type="paragraph" w:customStyle="1" w:styleId="Epgrafe3">
    <w:name w:val="Epígrafe3"/>
    <w:basedOn w:val="Normala"/>
    <w:qFormat/>
    <w:pPr>
      <w:suppressLineNumbers/>
      <w:spacing w:before="120" w:after="120"/>
    </w:pPr>
    <w:rPr>
      <w:rFonts w:cs="Mangal"/>
      <w:i/>
      <w:iCs/>
      <w:sz w:val="24"/>
      <w:szCs w:val="24"/>
    </w:rPr>
  </w:style>
  <w:style w:type="paragraph" w:customStyle="1" w:styleId="Epgrafe2">
    <w:name w:val="Epígrafe2"/>
    <w:basedOn w:val="Normala"/>
    <w:qFormat/>
    <w:pPr>
      <w:suppressLineNumbers/>
      <w:spacing w:before="120" w:after="120"/>
    </w:pPr>
    <w:rPr>
      <w:rFonts w:cs="Mangal"/>
      <w:i/>
      <w:iCs/>
      <w:sz w:val="24"/>
      <w:szCs w:val="24"/>
    </w:rPr>
  </w:style>
  <w:style w:type="paragraph" w:customStyle="1" w:styleId="Epgrafe1">
    <w:name w:val="Epígrafe1"/>
    <w:basedOn w:val="Normala"/>
    <w:qFormat/>
    <w:pPr>
      <w:suppressLineNumbers/>
      <w:spacing w:before="120" w:after="120"/>
    </w:pPr>
    <w:rPr>
      <w:rFonts w:cs="Mangal"/>
      <w:i/>
      <w:iCs/>
      <w:sz w:val="24"/>
      <w:szCs w:val="24"/>
    </w:rPr>
  </w:style>
  <w:style w:type="paragraph" w:customStyle="1" w:styleId="Goiburukoaetaorri-oina">
    <w:name w:val="Goiburukoa eta orri-oina"/>
    <w:basedOn w:val="Normala"/>
    <w:qFormat/>
    <w:pPr>
      <w:suppressLineNumbers/>
      <w:tabs>
        <w:tab w:val="center" w:pos="4819"/>
        <w:tab w:val="right" w:pos="9638"/>
      </w:tabs>
    </w:pPr>
  </w:style>
  <w:style w:type="paragraph" w:customStyle="1" w:styleId="HeaderandFooter">
    <w:name w:val="Header and Footer"/>
    <w:basedOn w:val="Normala"/>
    <w:qFormat/>
  </w:style>
  <w:style w:type="paragraph" w:styleId="Goiburua">
    <w:name w:val="header"/>
    <w:basedOn w:val="Normala"/>
    <w:pPr>
      <w:tabs>
        <w:tab w:val="center" w:pos="4536"/>
        <w:tab w:val="right" w:pos="9072"/>
      </w:tabs>
    </w:pPr>
  </w:style>
  <w:style w:type="paragraph" w:styleId="Orri-oina">
    <w:name w:val="footer"/>
    <w:basedOn w:val="Normala"/>
    <w:pPr>
      <w:tabs>
        <w:tab w:val="center" w:pos="4536"/>
        <w:tab w:val="right" w:pos="9072"/>
      </w:tabs>
    </w:pPr>
  </w:style>
  <w:style w:type="paragraph" w:styleId="Normalaweba">
    <w:name w:val="Normal (Web)"/>
    <w:basedOn w:val="Normala"/>
    <w:qFormat/>
    <w:pPr>
      <w:suppressAutoHyphens w:val="0"/>
      <w:spacing w:before="100" w:after="142" w:line="288" w:lineRule="auto"/>
    </w:pPr>
    <w:rPr>
      <w:sz w:val="24"/>
      <w:szCs w:val="24"/>
      <w:lang w:val="eu-ES"/>
    </w:rPr>
  </w:style>
  <w:style w:type="paragraph" w:customStyle="1" w:styleId="western">
    <w:name w:val="western"/>
    <w:basedOn w:val="Normala"/>
    <w:qFormat/>
    <w:pPr>
      <w:suppressAutoHyphens w:val="0"/>
      <w:spacing w:before="100" w:after="119"/>
      <w:jc w:val="both"/>
    </w:pPr>
    <w:rPr>
      <w:rFonts w:ascii="Arial" w:hAnsi="Arial" w:cs="Arial"/>
      <w:color w:val="000000"/>
      <w:lang w:val="eu-ES"/>
    </w:rPr>
  </w:style>
  <w:style w:type="paragraph" w:customStyle="1" w:styleId="Default">
    <w:name w:val="Default"/>
    <w:qFormat/>
    <w:pPr>
      <w:widowControl w:val="0"/>
    </w:pPr>
    <w:rPr>
      <w:rFonts w:ascii="Arial" w:hAnsi="Arial"/>
      <w:color w:val="000000"/>
    </w:rPr>
  </w:style>
  <w:style w:type="paragraph" w:styleId="Zerrenda-paragrafoa">
    <w:name w:val="List Paragraph"/>
    <w:basedOn w:val="Normala"/>
    <w:uiPriority w:val="34"/>
    <w:qFormat/>
    <w:rsid w:val="00530AD3"/>
    <w:pPr>
      <w:ind w:left="720"/>
      <w:contextualSpacing/>
    </w:pPr>
  </w:style>
  <w:style w:type="paragraph" w:customStyle="1" w:styleId="Standard">
    <w:name w:val="Standard"/>
    <w:qFormat/>
    <w:rsid w:val="006E16FE"/>
    <w:pPr>
      <w:jc w:val="both"/>
      <w:textAlignment w:val="baseline"/>
    </w:pPr>
    <w:rPr>
      <w:rFonts w:ascii="Arial" w:eastAsia="Times New Roman" w:hAnsi="Arial"/>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1533</TotalTime>
  <Pages>3</Pages>
  <Words>819</Words>
  <Characters>4672</Characters>
  <Application>Microsoft Office Word</Application>
  <DocSecurity>0</DocSecurity>
  <Lines>38</Lines>
  <Paragraphs>10</Paragraphs>
  <ScaleCrop>false</ScaleCrop>
  <HeadingPairs>
    <vt:vector size="2" baseType="variant">
      <vt:variant>
        <vt:lpstr>Titulua</vt:lpstr>
      </vt:variant>
      <vt:variant>
        <vt:i4>1</vt:i4>
      </vt:variant>
    </vt:vector>
  </HeadingPairs>
  <TitlesOfParts>
    <vt:vector size="1" baseType="lpstr">
      <vt:lpstr>Mugikortasun Administrazio Atala</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Mugikortasun Administrazio Atala</dc:title>
  <dc:subject>Sección Administrativa de Movilidad básico DINA4</dc:subject>
  <dc:creator>Usuario4</dc:creator>
  <cp:keywords>Sección Sección Administrativa de Movilidad</cp:keywords>
  <dc:description/>
  <cp:lastModifiedBy>Lasa Larraya Gaizka</cp:lastModifiedBy>
  <cp:revision>71</cp:revision>
  <cp:lastPrinted>2026-06-22T16:34:00Z</cp:lastPrinted>
  <dcterms:created xsi:type="dcterms:W3CDTF">2026-05-22T08:38:00Z</dcterms:created>
  <dcterms:modified xsi:type="dcterms:W3CDTF">2026-06-23T06:52:00Z</dcterms:modified>
  <dc:language>eu-ES</dc:language>
</cp:coreProperties>
</file>