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90BA" w14:textId="640D2BE9" w:rsidR="00AB7493" w:rsidRDefault="00AB7493" w:rsidP="00AB7493">
      <w:pPr>
        <w:suppressAutoHyphens w:val="0"/>
        <w:jc w:val="center"/>
        <w:rPr>
          <w:rFonts w:ascii="Arial" w:hAnsi="Arial"/>
          <w:b/>
          <w:bCs/>
          <w:color w:val="000000"/>
          <w:sz w:val="28"/>
          <w:szCs w:val="28"/>
          <w:lang w:val="eu-ES"/>
        </w:rPr>
      </w:pPr>
      <w:r w:rsidRPr="00AB7493">
        <w:rPr>
          <w:rFonts w:ascii="Arial" w:hAnsi="Arial"/>
          <w:b/>
          <w:bCs/>
          <w:color w:val="000000"/>
          <w:sz w:val="28"/>
          <w:szCs w:val="28"/>
          <w:lang w:val="eu-ES"/>
        </w:rPr>
        <w:t>2027ko Urrezko Danborra eta Hiritar Merezimenduaren Domin</w:t>
      </w:r>
      <w:r w:rsidR="009B16DD">
        <w:rPr>
          <w:rFonts w:ascii="Arial" w:hAnsi="Arial"/>
          <w:b/>
          <w:bCs/>
          <w:color w:val="000000"/>
          <w:sz w:val="28"/>
          <w:szCs w:val="28"/>
          <w:lang w:val="eu-ES"/>
        </w:rPr>
        <w:t>etarako</w:t>
      </w:r>
      <w:r w:rsidRPr="00AB7493">
        <w:rPr>
          <w:rFonts w:ascii="Arial" w:hAnsi="Arial"/>
          <w:b/>
          <w:bCs/>
          <w:color w:val="000000"/>
          <w:sz w:val="28"/>
          <w:szCs w:val="28"/>
          <w:lang w:val="eu-ES"/>
        </w:rPr>
        <w:t xml:space="preserve"> hautagaitzak aurkezteko epea urriaren 19an irekiko da</w:t>
      </w:r>
    </w:p>
    <w:p w14:paraId="6A7633D4" w14:textId="51A4F4F9" w:rsidR="00AB7493" w:rsidRPr="00115FC7" w:rsidRDefault="00AB7493" w:rsidP="00AB7493">
      <w:pPr>
        <w:suppressAutoHyphens w:val="0"/>
        <w:jc w:val="center"/>
        <w:rPr>
          <w:rFonts w:ascii="Arial" w:hAnsi="Arial"/>
          <w:i/>
          <w:iCs/>
          <w:color w:val="000000"/>
          <w:sz w:val="22"/>
          <w:szCs w:val="22"/>
          <w:lang w:val="eu-ES"/>
        </w:rPr>
      </w:pPr>
      <w:r w:rsidRPr="00AB7493">
        <w:rPr>
          <w:rFonts w:ascii="Arial" w:hAnsi="Arial"/>
          <w:b/>
          <w:bCs/>
          <w:color w:val="000000"/>
          <w:sz w:val="22"/>
          <w:szCs w:val="22"/>
          <w:lang w:val="eu-ES"/>
        </w:rPr>
        <w:br/>
      </w:r>
      <w:r w:rsidRPr="00115FC7">
        <w:rPr>
          <w:rFonts w:ascii="Arial" w:hAnsi="Arial"/>
          <w:i/>
          <w:iCs/>
          <w:color w:val="000000"/>
          <w:sz w:val="22"/>
          <w:szCs w:val="22"/>
          <w:lang w:val="eu-ES"/>
        </w:rPr>
        <w:t xml:space="preserve">Aurreko prozesuetan ez bezala, bi </w:t>
      </w:r>
      <w:r w:rsidR="00115FC7">
        <w:rPr>
          <w:rFonts w:ascii="Arial" w:hAnsi="Arial"/>
          <w:i/>
          <w:iCs/>
          <w:color w:val="000000"/>
          <w:sz w:val="22"/>
          <w:szCs w:val="22"/>
          <w:lang w:val="eu-ES"/>
        </w:rPr>
        <w:t>aintzatespenerako</w:t>
      </w:r>
      <w:r w:rsidRPr="00115FC7">
        <w:rPr>
          <w:rFonts w:ascii="Arial" w:hAnsi="Arial"/>
          <w:i/>
          <w:iCs/>
          <w:color w:val="000000"/>
          <w:sz w:val="22"/>
          <w:szCs w:val="22"/>
          <w:lang w:val="eu-ES"/>
        </w:rPr>
        <w:t xml:space="preserve"> proposamenak </w:t>
      </w:r>
      <w:r w:rsidR="00115FC7">
        <w:rPr>
          <w:rFonts w:ascii="Arial" w:hAnsi="Arial"/>
          <w:i/>
          <w:iCs/>
          <w:color w:val="000000"/>
          <w:sz w:val="22"/>
          <w:szCs w:val="22"/>
          <w:lang w:val="eu-ES"/>
        </w:rPr>
        <w:t>epe</w:t>
      </w:r>
      <w:r w:rsidRPr="00115FC7">
        <w:rPr>
          <w:rFonts w:ascii="Arial" w:hAnsi="Arial"/>
          <w:i/>
          <w:iCs/>
          <w:color w:val="000000"/>
          <w:sz w:val="22"/>
          <w:szCs w:val="22"/>
          <w:lang w:val="eu-ES"/>
        </w:rPr>
        <w:t xml:space="preserve"> berean aurkeztu</w:t>
      </w:r>
      <w:r w:rsidR="00115FC7">
        <w:rPr>
          <w:rFonts w:ascii="Arial" w:hAnsi="Arial"/>
          <w:i/>
          <w:iCs/>
          <w:color w:val="000000"/>
          <w:sz w:val="22"/>
          <w:szCs w:val="22"/>
          <w:lang w:val="eu-ES"/>
        </w:rPr>
        <w:t xml:space="preserve"> beharko</w:t>
      </w:r>
      <w:r w:rsidRPr="00115FC7">
        <w:rPr>
          <w:rFonts w:ascii="Arial" w:hAnsi="Arial"/>
          <w:i/>
          <w:iCs/>
          <w:color w:val="000000"/>
          <w:sz w:val="22"/>
          <w:szCs w:val="22"/>
          <w:lang w:val="eu-ES"/>
        </w:rPr>
        <w:t xml:space="preserve"> dira, azaroaren 1era arte</w:t>
      </w:r>
    </w:p>
    <w:p w14:paraId="1F647A1C" w14:textId="050DAA68"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 xml:space="preserve">Donostiako Udalak urriaren 19an irekiko du </w:t>
      </w:r>
      <w:r w:rsidR="00115FC7" w:rsidRPr="00AB7493">
        <w:rPr>
          <w:rFonts w:ascii="Arial" w:hAnsi="Arial"/>
          <w:color w:val="000000"/>
          <w:sz w:val="22"/>
          <w:szCs w:val="22"/>
          <w:lang w:val="eu-ES"/>
        </w:rPr>
        <w:t xml:space="preserve"> 2027ko </w:t>
      </w:r>
      <w:r w:rsidRPr="00AB7493">
        <w:rPr>
          <w:rFonts w:ascii="Arial" w:hAnsi="Arial"/>
          <w:color w:val="000000"/>
          <w:sz w:val="22"/>
          <w:szCs w:val="22"/>
          <w:lang w:val="eu-ES"/>
        </w:rPr>
        <w:t>Urrezko Danborra eta</w:t>
      </w:r>
      <w:r w:rsidR="00115FC7">
        <w:rPr>
          <w:rFonts w:ascii="Arial" w:hAnsi="Arial"/>
          <w:color w:val="000000"/>
          <w:sz w:val="22"/>
          <w:szCs w:val="22"/>
          <w:lang w:val="eu-ES"/>
        </w:rPr>
        <w:t xml:space="preserve"> </w:t>
      </w:r>
      <w:r w:rsidRPr="00AB7493">
        <w:rPr>
          <w:rFonts w:ascii="Arial" w:hAnsi="Arial"/>
          <w:color w:val="000000"/>
          <w:sz w:val="22"/>
          <w:szCs w:val="22"/>
          <w:lang w:val="eu-ES"/>
        </w:rPr>
        <w:t>Hiritar Merezimenduaren Dominak lortzeko hautagaitzak aurkezteko epea. Berrikuntza gisa, aurten bi aintzatespenen proposamenak aurkezteko fasea aldi berean egingo da, azaroaren 1era arte.</w:t>
      </w:r>
    </w:p>
    <w:p w14:paraId="40B9E11F" w14:textId="7EA27989"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Proposamenak aurkezteko prozesua epe berean (urriaren 19tik azaroaren 1era) egingo bada ere, bi aintzatespen desberdin eta independente direla azpimarratu behar da, bai beren izaeragatik, bai sari bakoitzak aitortu nahi dituen balio eta printzipioengatik.</w:t>
      </w:r>
      <w:r w:rsidRPr="00AB7493">
        <w:rPr>
          <w:rFonts w:ascii="Arial" w:hAnsi="Arial"/>
          <w:color w:val="000000"/>
          <w:sz w:val="22"/>
          <w:szCs w:val="22"/>
          <w:lang w:val="eu-ES"/>
        </w:rPr>
        <w:br/>
      </w:r>
      <w:r w:rsidRPr="00AB7493">
        <w:rPr>
          <w:rFonts w:ascii="Arial" w:hAnsi="Arial"/>
          <w:color w:val="000000"/>
          <w:sz w:val="22"/>
          <w:szCs w:val="22"/>
          <w:lang w:val="eu-ES"/>
        </w:rPr>
        <w:br/>
        <w:t>Zentzu horretan, Idoia Gracia Herritarren Partaidetzako zinegotziak nabarmendu duenez, "Udaletik donostiar guztiak</w:t>
      </w:r>
      <w:r w:rsidR="0072696B">
        <w:rPr>
          <w:rFonts w:ascii="Arial" w:hAnsi="Arial"/>
          <w:color w:val="000000"/>
          <w:sz w:val="22"/>
          <w:szCs w:val="22"/>
          <w:lang w:val="eu-ES"/>
        </w:rPr>
        <w:t xml:space="preserve"> </w:t>
      </w:r>
      <w:r w:rsidR="0072696B" w:rsidRPr="00AB7493">
        <w:rPr>
          <w:rFonts w:ascii="Arial" w:hAnsi="Arial"/>
          <w:color w:val="000000"/>
          <w:sz w:val="22"/>
          <w:szCs w:val="22"/>
          <w:lang w:val="eu-ES"/>
        </w:rPr>
        <w:t>animatzen ditugu</w:t>
      </w:r>
      <w:r w:rsidRPr="00AB7493">
        <w:rPr>
          <w:rFonts w:ascii="Arial" w:hAnsi="Arial"/>
          <w:color w:val="000000"/>
          <w:sz w:val="22"/>
          <w:szCs w:val="22"/>
          <w:lang w:val="eu-ES"/>
        </w:rPr>
        <w:t xml:space="preserve"> parte hartzera eta, beren ibilbideagatik, ekarpenagatik edo hiriarekin duten loturagatik, sari bat edo bestea merezi dutela uste duten pertsona edo erakundeak proposatzera, bakoitzaren ezaugarri espezifikoak kontuan hartuta".</w:t>
      </w:r>
    </w:p>
    <w:p w14:paraId="17C52F6A" w14:textId="77777777" w:rsidR="00AB7493" w:rsidRPr="00AB7493" w:rsidRDefault="00AB7493" w:rsidP="00AB7493">
      <w:pPr>
        <w:suppressAutoHyphens w:val="0"/>
        <w:jc w:val="both"/>
        <w:rPr>
          <w:rFonts w:ascii="Arial" w:hAnsi="Arial"/>
          <w:b/>
          <w:bCs/>
          <w:color w:val="000000"/>
          <w:sz w:val="22"/>
          <w:szCs w:val="22"/>
          <w:lang w:val="eu-ES"/>
        </w:rPr>
      </w:pPr>
      <w:r w:rsidRPr="00AB7493">
        <w:rPr>
          <w:rFonts w:ascii="Arial" w:hAnsi="Arial"/>
          <w:color w:val="000000"/>
          <w:sz w:val="22"/>
          <w:szCs w:val="22"/>
          <w:lang w:val="eu-ES"/>
        </w:rPr>
        <w:br/>
      </w:r>
      <w:r w:rsidRPr="00AB7493">
        <w:rPr>
          <w:rFonts w:ascii="Arial" w:hAnsi="Arial"/>
          <w:b/>
          <w:bCs/>
          <w:color w:val="000000"/>
          <w:sz w:val="22"/>
          <w:szCs w:val="22"/>
          <w:lang w:val="eu-ES"/>
        </w:rPr>
        <w:t>Urrezko Danborra</w:t>
      </w:r>
    </w:p>
    <w:p w14:paraId="31BFAAC6" w14:textId="77777777"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Urrezko Danborra izaera bereziko aitorpena da; izan ere, nortasun juridikoa duen pertsona edo erakunde bat bereizten du urtero, bere ibilbideari edo garatzen duen jarduerari esker Donostia ezagutarazten eta hiriaren irudi positiboa kanpoan proiektatzen nabarmen lagundu duena, eta, aldi berean, beste leku, erakunde eta pertsonekin dituen loturak bultzatzen dituena.</w:t>
      </w:r>
    </w:p>
    <w:p w14:paraId="578FAA7B" w14:textId="77777777"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Urriaren 19tik azaroaren 1era bitartean, Donostian erroldatutako pertsona fisikoek aurkeztu ahal izango dituzte proposamenak, adin-mugarik gabe; kirol-elkarte, -fundazio eta -klubek edo enpresek ere egin ahal izango dituzte proposamenak, lau kasuetan, baldin eta egoitza hirian badute.</w:t>
      </w:r>
    </w:p>
    <w:p w14:paraId="0836691C" w14:textId="0EF59D13"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 xml:space="preserve">Proposamenak online jasoko dira </w:t>
      </w:r>
      <w:r w:rsidR="00EE1A52" w:rsidRPr="00EE1A52">
        <w:rPr>
          <w:rFonts w:ascii="Arial" w:hAnsi="Arial"/>
          <w:b/>
          <w:bCs/>
          <w:sz w:val="22"/>
          <w:szCs w:val="22"/>
          <w:lang w:val="eu-ES"/>
        </w:rPr>
        <w:t>www.donostia.eus/sariak</w:t>
      </w:r>
      <w:r w:rsidRPr="00AB7493">
        <w:rPr>
          <w:rFonts w:ascii="Arial" w:hAnsi="Arial"/>
          <w:color w:val="000000"/>
          <w:sz w:val="22"/>
          <w:szCs w:val="22"/>
          <w:lang w:val="eu-ES"/>
        </w:rPr>
        <w:t xml:space="preserve"> </w:t>
      </w:r>
      <w:r w:rsidR="003A0C1D">
        <w:rPr>
          <w:rFonts w:ascii="Arial" w:hAnsi="Arial"/>
          <w:color w:val="000000"/>
          <w:sz w:val="22"/>
          <w:szCs w:val="22"/>
          <w:lang w:val="eu-ES"/>
        </w:rPr>
        <w:t>webgunearen</w:t>
      </w:r>
      <w:r w:rsidR="00EE1A52">
        <w:rPr>
          <w:rFonts w:ascii="Arial" w:hAnsi="Arial"/>
          <w:color w:val="000000"/>
          <w:sz w:val="22"/>
          <w:szCs w:val="22"/>
          <w:lang w:val="eu-ES"/>
        </w:rPr>
        <w:t xml:space="preserve"> </w:t>
      </w:r>
      <w:r w:rsidRPr="00AB7493">
        <w:rPr>
          <w:rFonts w:ascii="Arial" w:hAnsi="Arial"/>
          <w:color w:val="000000"/>
          <w:sz w:val="22"/>
          <w:szCs w:val="22"/>
          <w:lang w:val="eu-ES"/>
        </w:rPr>
        <w:t>bidez, eta behar dutenek fisikoki eskatu ahal izango dute laguntza Herritarren Partaidetzarako Zerbitzuaren bulegoetan. Hautagaitza aurkeztu eta argudiatzeko dokumentazioa erantsi ahal izango da, eta pertsona edo erakunde bakoitzak proposamen bakarra aurkeztu ahal izango dio Urrezko Danborrari.</w:t>
      </w:r>
    </w:p>
    <w:p w14:paraId="1B89E93F" w14:textId="77777777" w:rsidR="00AB7493" w:rsidRPr="00AB7493" w:rsidRDefault="00AB7493" w:rsidP="00AB7493">
      <w:pPr>
        <w:suppressAutoHyphens w:val="0"/>
        <w:jc w:val="both"/>
        <w:rPr>
          <w:rFonts w:ascii="Arial" w:hAnsi="Arial"/>
          <w:b/>
          <w:bCs/>
          <w:color w:val="000000"/>
          <w:sz w:val="22"/>
          <w:szCs w:val="22"/>
          <w:lang w:val="eu-ES"/>
        </w:rPr>
      </w:pPr>
      <w:r w:rsidRPr="00AB7493">
        <w:rPr>
          <w:rFonts w:ascii="Arial" w:hAnsi="Arial"/>
          <w:color w:val="000000"/>
          <w:sz w:val="22"/>
          <w:szCs w:val="22"/>
          <w:lang w:val="eu-ES"/>
        </w:rPr>
        <w:br/>
      </w:r>
      <w:r w:rsidRPr="00AB7493">
        <w:rPr>
          <w:rFonts w:ascii="Arial" w:hAnsi="Arial"/>
          <w:b/>
          <w:bCs/>
          <w:color w:val="000000"/>
          <w:sz w:val="22"/>
          <w:szCs w:val="22"/>
          <w:lang w:val="eu-ES"/>
        </w:rPr>
        <w:t>Hiritar Merezimenduaren Dominak</w:t>
      </w:r>
    </w:p>
    <w:p w14:paraId="384B6D00" w14:textId="77777777"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Hiritar Merezimenduaren Dominei dagokienez, bestelako izaera dute; izan ere, hiriak nortasun juridikoa duten pertsona edo erakundeei ematen dien esker ona adierazten du, askotariko esparruetatik bizikidetza indartzen dutelako eta Donostiako bizitza kolektiboari balioa ematen diotelako.</w:t>
      </w:r>
    </w:p>
    <w:p w14:paraId="7409277A" w14:textId="77777777"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 xml:space="preserve">Kasu horretan ere, proposamenak urriaren 19tik azaroaren 1era bitartean aurkeztu </w:t>
      </w:r>
      <w:r w:rsidRPr="00AB7493">
        <w:rPr>
          <w:rFonts w:ascii="Arial" w:hAnsi="Arial"/>
          <w:color w:val="000000"/>
          <w:sz w:val="22"/>
          <w:szCs w:val="22"/>
          <w:lang w:val="eu-ES"/>
        </w:rPr>
        <w:lastRenderedPageBreak/>
        <w:t>ahal izango dira. Kasu horretan, Donostian erroldatutako pertsonek egin ahal izango dute, adin-mugarik gabe; kirol-elkarte, -fundazio eta -klubek ere egin ahal izango dituzte proposamenak, lau kasuetan, betiere hirian helbideratuta badaude.</w:t>
      </w:r>
    </w:p>
    <w:p w14:paraId="614560EE" w14:textId="38EA06A5"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 xml:space="preserve">Hautagaitzak </w:t>
      </w:r>
      <w:r w:rsidR="007222AB" w:rsidRPr="00EE1A52">
        <w:rPr>
          <w:rFonts w:ascii="Arial" w:hAnsi="Arial"/>
          <w:b/>
          <w:bCs/>
          <w:sz w:val="22"/>
          <w:szCs w:val="22"/>
          <w:lang w:val="eu-ES"/>
        </w:rPr>
        <w:t>www.donostia.eus/sariak</w:t>
      </w:r>
      <w:r w:rsidR="007222AB" w:rsidRPr="00AB7493">
        <w:rPr>
          <w:rFonts w:ascii="Arial" w:hAnsi="Arial"/>
          <w:color w:val="000000"/>
          <w:sz w:val="22"/>
          <w:szCs w:val="22"/>
          <w:lang w:val="eu-ES"/>
        </w:rPr>
        <w:t xml:space="preserve"> </w:t>
      </w:r>
      <w:r w:rsidR="008D7BEB">
        <w:rPr>
          <w:rFonts w:ascii="Arial" w:hAnsi="Arial"/>
          <w:color w:val="000000"/>
          <w:sz w:val="22"/>
          <w:szCs w:val="22"/>
          <w:lang w:val="eu-ES"/>
        </w:rPr>
        <w:t>webgunearen</w:t>
      </w:r>
      <w:r w:rsidR="007222AB">
        <w:rPr>
          <w:rFonts w:ascii="Arial" w:hAnsi="Arial"/>
          <w:color w:val="000000"/>
          <w:sz w:val="22"/>
          <w:szCs w:val="22"/>
          <w:lang w:val="eu-ES"/>
        </w:rPr>
        <w:t xml:space="preserve"> </w:t>
      </w:r>
      <w:r w:rsidRPr="00AB7493">
        <w:rPr>
          <w:rFonts w:ascii="Arial" w:hAnsi="Arial"/>
          <w:color w:val="000000"/>
          <w:sz w:val="22"/>
          <w:szCs w:val="22"/>
          <w:lang w:val="eu-ES"/>
        </w:rPr>
        <w:t>bidez ere aurkeztuko dira, eta proposamena babesten duen dokumentazioa erantsi ahal izango da. Kasu honetan, aldea dago Urrezko Danborrarekiko; izan ere, ez dago mugarik pertsona edo erakunde batek aurkez ditzakeen proposamenen kopuruan, baina horietako bakoitzerako fitxa independente bat bete beharko da.</w:t>
      </w:r>
    </w:p>
    <w:p w14:paraId="3C00E2A6" w14:textId="577BDE97" w:rsidR="00AB7493" w:rsidRPr="00AB7493" w:rsidRDefault="00AB7493" w:rsidP="00AB7493">
      <w:pPr>
        <w:suppressAutoHyphens w:val="0"/>
        <w:jc w:val="both"/>
        <w:rPr>
          <w:rFonts w:ascii="Arial" w:hAnsi="Arial"/>
          <w:b/>
          <w:bCs/>
          <w:color w:val="000000"/>
          <w:sz w:val="22"/>
          <w:szCs w:val="22"/>
          <w:lang w:val="eu-ES"/>
        </w:rPr>
      </w:pPr>
      <w:r w:rsidRPr="00AB7493">
        <w:rPr>
          <w:rFonts w:ascii="Arial" w:hAnsi="Arial"/>
          <w:color w:val="000000"/>
          <w:sz w:val="22"/>
          <w:szCs w:val="22"/>
          <w:lang w:val="eu-ES"/>
        </w:rPr>
        <w:br/>
      </w:r>
      <w:r w:rsidRPr="00AB7493">
        <w:rPr>
          <w:rFonts w:ascii="Arial" w:hAnsi="Arial"/>
          <w:b/>
          <w:bCs/>
          <w:color w:val="000000"/>
          <w:sz w:val="22"/>
          <w:szCs w:val="22"/>
          <w:lang w:val="eu-ES"/>
        </w:rPr>
        <w:t xml:space="preserve">Herritarren </w:t>
      </w:r>
      <w:r>
        <w:rPr>
          <w:rFonts w:ascii="Arial" w:hAnsi="Arial"/>
          <w:b/>
          <w:bCs/>
          <w:color w:val="000000"/>
          <w:sz w:val="22"/>
          <w:szCs w:val="22"/>
          <w:lang w:val="eu-ES"/>
        </w:rPr>
        <w:t>partaidetza</w:t>
      </w:r>
      <w:r w:rsidRPr="00AB7493">
        <w:rPr>
          <w:rFonts w:ascii="Arial" w:hAnsi="Arial"/>
          <w:b/>
          <w:bCs/>
          <w:color w:val="000000"/>
          <w:sz w:val="22"/>
          <w:szCs w:val="22"/>
          <w:lang w:val="eu-ES"/>
        </w:rPr>
        <w:t xml:space="preserve"> sustatzea</w:t>
      </w:r>
    </w:p>
    <w:p w14:paraId="267DA12C" w14:textId="0903DDBD" w:rsid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Proposamenak aurkezteko epeak bateratzeak prozesua erraztu nahi du herritarren parte-hartzeari begira, baina Urrezko Danborrak eta Hiritar Merezimenduaren Dominek beren nortasuna eta prozedura bereiziak manten ditzaten errespetatuz, hautagaitzak berariaz aurkeztu beharko baitira lortu nahi den sarira.</w:t>
      </w:r>
    </w:p>
    <w:p w14:paraId="02480794" w14:textId="77777777" w:rsidR="00AB7493" w:rsidRPr="00AB7493" w:rsidRDefault="00AB7493" w:rsidP="00AB7493">
      <w:pPr>
        <w:suppressAutoHyphens w:val="0"/>
        <w:jc w:val="both"/>
        <w:rPr>
          <w:rFonts w:ascii="Arial" w:hAnsi="Arial"/>
          <w:color w:val="000000"/>
          <w:sz w:val="22"/>
          <w:szCs w:val="22"/>
          <w:lang w:val="eu-ES"/>
        </w:rPr>
      </w:pPr>
    </w:p>
    <w:p w14:paraId="0F2031D0" w14:textId="77777777" w:rsidR="00AB7493" w:rsidRDefault="00AB7493" w:rsidP="00AB7493">
      <w:pPr>
        <w:jc w:val="both"/>
        <w:rPr>
          <w:rFonts w:ascii="Arial" w:hAnsi="Arial"/>
          <w:color w:val="000000"/>
          <w:sz w:val="22"/>
          <w:szCs w:val="22"/>
          <w:lang w:val="eu-ES"/>
        </w:rPr>
      </w:pPr>
      <w:r w:rsidRPr="00AB7493">
        <w:rPr>
          <w:rFonts w:ascii="Arial" w:hAnsi="Arial"/>
          <w:color w:val="000000"/>
          <w:sz w:val="22"/>
          <w:szCs w:val="22"/>
          <w:lang w:val="eu-ES"/>
        </w:rPr>
        <w:t>Prozesua hurrengo faseetan garatzeari dagokionez, Udalak behar bezala informatuko du proposamenak aurkezteko epea amaitu ondoren, aintzatespen bakoitzak prozedura desberdina baitu, eta, beraz, denborak aldakorrak izan daitezke.</w:t>
      </w:r>
    </w:p>
    <w:p w14:paraId="5E4DFA45" w14:textId="77777777" w:rsidR="00FB44D2" w:rsidRDefault="00FB44D2" w:rsidP="00AB7493">
      <w:pPr>
        <w:jc w:val="both"/>
        <w:rPr>
          <w:rFonts w:ascii="Arial" w:hAnsi="Arial"/>
          <w:color w:val="000000"/>
          <w:sz w:val="22"/>
          <w:szCs w:val="22"/>
          <w:lang w:val="eu-ES"/>
        </w:rPr>
      </w:pPr>
    </w:p>
    <w:p w14:paraId="3FDE6561" w14:textId="6123B541" w:rsidR="00AB7493" w:rsidRPr="00AB7493" w:rsidRDefault="00AB7493" w:rsidP="00AB7493">
      <w:pPr>
        <w:jc w:val="both"/>
        <w:rPr>
          <w:rFonts w:ascii="Arial" w:hAnsi="Arial"/>
          <w:color w:val="000000"/>
          <w:sz w:val="22"/>
          <w:szCs w:val="22"/>
          <w:lang w:val="eu-ES"/>
        </w:rPr>
      </w:pPr>
    </w:p>
    <w:p w14:paraId="7A24E346" w14:textId="4030744B" w:rsidR="00AB7493" w:rsidRPr="00AB7493" w:rsidRDefault="00AB7493" w:rsidP="00AB7493">
      <w:pPr>
        <w:jc w:val="right"/>
        <w:rPr>
          <w:rFonts w:ascii="Arial" w:hAnsi="Arial"/>
          <w:color w:val="000000"/>
          <w:sz w:val="22"/>
          <w:szCs w:val="22"/>
          <w:lang w:val="eu-ES"/>
        </w:rPr>
      </w:pPr>
      <w:r w:rsidRPr="00AB7493">
        <w:rPr>
          <w:rFonts w:ascii="Arial" w:hAnsi="Arial"/>
          <w:color w:val="000000"/>
          <w:sz w:val="22"/>
          <w:szCs w:val="22"/>
          <w:lang w:val="eu-ES"/>
        </w:rPr>
        <w:t>Donostia, 2026ko urriaren 16a</w:t>
      </w:r>
    </w:p>
    <w:p w14:paraId="342E2899" w14:textId="77777777" w:rsidR="00AB7493" w:rsidRPr="00AB7493" w:rsidRDefault="00AB7493" w:rsidP="00AB7493">
      <w:pPr>
        <w:suppressAutoHyphens w:val="0"/>
        <w:jc w:val="both"/>
        <w:rPr>
          <w:rFonts w:ascii="Arial" w:hAnsi="Arial"/>
          <w:color w:val="000000"/>
          <w:sz w:val="22"/>
          <w:szCs w:val="22"/>
          <w:lang w:val="eu-ES"/>
        </w:rPr>
      </w:pPr>
      <w:r w:rsidRPr="00AB7493">
        <w:rPr>
          <w:rFonts w:ascii="Arial" w:hAnsi="Arial"/>
          <w:color w:val="000000"/>
          <w:sz w:val="22"/>
          <w:szCs w:val="22"/>
          <w:lang w:val="eu-ES"/>
        </w:rPr>
        <w:br w:type="page"/>
      </w:r>
    </w:p>
    <w:p w14:paraId="4A6F4F7E" w14:textId="51E408B0" w:rsidR="00175AFC" w:rsidRDefault="00175AFC" w:rsidP="00175AFC">
      <w:pPr>
        <w:jc w:val="center"/>
        <w:rPr>
          <w:rFonts w:ascii="Arial" w:hAnsi="Arial"/>
          <w:b/>
          <w:bCs/>
          <w:color w:val="000000"/>
          <w:sz w:val="28"/>
          <w:szCs w:val="28"/>
        </w:rPr>
      </w:pPr>
      <w:r>
        <w:rPr>
          <w:rFonts w:ascii="Arial" w:hAnsi="Arial"/>
          <w:b/>
          <w:bCs/>
          <w:color w:val="000000"/>
          <w:sz w:val="28"/>
          <w:szCs w:val="28"/>
        </w:rPr>
        <w:lastRenderedPageBreak/>
        <w:t>El plazo para presentar candidaturas al Tambor de Oro y las Medallas al Mérito Ciudadano 2027 se abre el 19 de octubre</w:t>
      </w:r>
    </w:p>
    <w:p w14:paraId="2B496207" w14:textId="77777777" w:rsidR="00175AFC" w:rsidRDefault="00175AFC" w:rsidP="00175AFC">
      <w:pPr>
        <w:jc w:val="both"/>
        <w:rPr>
          <w:rFonts w:ascii="Arial" w:hAnsi="Arial"/>
          <w:color w:val="000000"/>
          <w:sz w:val="22"/>
          <w:szCs w:val="22"/>
        </w:rPr>
      </w:pPr>
    </w:p>
    <w:p w14:paraId="3942646F" w14:textId="77777777" w:rsidR="00175AFC" w:rsidRDefault="00175AFC" w:rsidP="00175AFC">
      <w:pPr>
        <w:jc w:val="center"/>
        <w:rPr>
          <w:rFonts w:ascii="Arial" w:hAnsi="Arial"/>
          <w:i/>
          <w:iCs/>
          <w:color w:val="000000"/>
          <w:sz w:val="22"/>
          <w:szCs w:val="22"/>
        </w:rPr>
      </w:pPr>
      <w:r>
        <w:rPr>
          <w:rFonts w:ascii="Arial" w:hAnsi="Arial"/>
          <w:i/>
          <w:iCs/>
          <w:color w:val="000000"/>
          <w:sz w:val="22"/>
          <w:szCs w:val="22"/>
        </w:rPr>
        <w:t>A diferencia de procesos anteriores, la presentación de propuestas para ambos reconocimientos se realizará de forma simultánea, hasta el 1 de noviembre</w:t>
      </w:r>
    </w:p>
    <w:p w14:paraId="4313D183" w14:textId="77777777" w:rsidR="00175AFC" w:rsidRDefault="00175AFC" w:rsidP="00175AFC">
      <w:pPr>
        <w:jc w:val="both"/>
        <w:rPr>
          <w:rFonts w:ascii="Arial" w:hAnsi="Arial"/>
          <w:color w:val="000000"/>
          <w:sz w:val="22"/>
          <w:szCs w:val="22"/>
        </w:rPr>
      </w:pPr>
    </w:p>
    <w:p w14:paraId="6A596A99" w14:textId="77777777" w:rsidR="00175AFC" w:rsidRDefault="00175AFC" w:rsidP="00175AFC">
      <w:pPr>
        <w:jc w:val="both"/>
        <w:rPr>
          <w:rFonts w:ascii="Arial" w:hAnsi="Arial"/>
          <w:color w:val="000000"/>
          <w:sz w:val="22"/>
          <w:szCs w:val="22"/>
        </w:rPr>
      </w:pPr>
      <w:r>
        <w:rPr>
          <w:rFonts w:ascii="Arial" w:hAnsi="Arial"/>
          <w:color w:val="000000"/>
          <w:sz w:val="22"/>
          <w:szCs w:val="22"/>
        </w:rPr>
        <w:t>El Ayuntamiento de Donostia / San Sebastián abrirá el próximo 19 de octubre el plazo para que la ciudadanía donostiarra presente sus propuestas de candidaturas tanto al Tambor de Oro como a las Medallas al Mérito Ciudadano 2027. Como novedad, este año la fase de presentación de propuestas de ambos reconocimientos se desarrollará de manera simultánea, hasta el 1 de noviembre.</w:t>
      </w:r>
    </w:p>
    <w:p w14:paraId="035B71E3" w14:textId="77777777" w:rsidR="00175AFC" w:rsidRDefault="00175AFC" w:rsidP="00175AFC">
      <w:pPr>
        <w:jc w:val="both"/>
        <w:rPr>
          <w:rFonts w:ascii="Arial" w:hAnsi="Arial"/>
          <w:color w:val="000000"/>
          <w:sz w:val="22"/>
          <w:szCs w:val="22"/>
        </w:rPr>
      </w:pPr>
    </w:p>
    <w:p w14:paraId="662CC011" w14:textId="74AB3B9F" w:rsidR="00175AFC" w:rsidRDefault="00175AFC" w:rsidP="00175AFC">
      <w:pPr>
        <w:jc w:val="both"/>
        <w:rPr>
          <w:rFonts w:ascii="Arial" w:hAnsi="Arial"/>
          <w:color w:val="000000"/>
          <w:sz w:val="22"/>
          <w:szCs w:val="22"/>
        </w:rPr>
      </w:pPr>
      <w:r>
        <w:rPr>
          <w:rFonts w:ascii="Arial" w:hAnsi="Arial"/>
          <w:color w:val="000000"/>
          <w:sz w:val="22"/>
          <w:szCs w:val="22"/>
        </w:rPr>
        <w:t xml:space="preserve">Aunque el proceso de presentación de propuestas se vaya a realizar de forma paralela en el mismo plazo (del 19 de octubre al 1 de noviembre), cabe subrayar que se trata </w:t>
      </w:r>
      <w:r w:rsidRPr="00175AFC">
        <w:rPr>
          <w:rFonts w:ascii="Arial" w:hAnsi="Arial"/>
          <w:sz w:val="22"/>
          <w:szCs w:val="22"/>
        </w:rPr>
        <w:t>de dos reconocimientos diferentes e independientes, tanto por su naturaleza como por los valores y principios que cada galardón pretende reconocer.</w:t>
      </w:r>
      <w:r>
        <w:rPr>
          <w:rFonts w:ascii="Arial" w:hAnsi="Arial"/>
          <w:color w:val="000000"/>
          <w:sz w:val="22"/>
          <w:szCs w:val="22"/>
        </w:rPr>
        <w:t xml:space="preserve"> </w:t>
      </w:r>
    </w:p>
    <w:p w14:paraId="5DD14BA1" w14:textId="77777777" w:rsidR="00175AFC" w:rsidRDefault="00175AFC" w:rsidP="00175AFC">
      <w:pPr>
        <w:jc w:val="both"/>
        <w:rPr>
          <w:rFonts w:ascii="Arial" w:hAnsi="Arial"/>
          <w:color w:val="000000"/>
          <w:sz w:val="22"/>
          <w:szCs w:val="22"/>
        </w:rPr>
      </w:pPr>
    </w:p>
    <w:p w14:paraId="414F3834" w14:textId="77777777" w:rsidR="00175AFC" w:rsidRDefault="00175AFC" w:rsidP="00175AFC">
      <w:pPr>
        <w:jc w:val="both"/>
        <w:rPr>
          <w:rFonts w:ascii="Arial" w:hAnsi="Arial"/>
          <w:color w:val="000000"/>
          <w:sz w:val="22"/>
          <w:szCs w:val="22"/>
        </w:rPr>
      </w:pPr>
      <w:r>
        <w:rPr>
          <w:rFonts w:ascii="Arial" w:hAnsi="Arial"/>
          <w:color w:val="000000"/>
          <w:sz w:val="22"/>
          <w:szCs w:val="22"/>
        </w:rPr>
        <w:t>En ese sentido, la concejala de Participación Ciudadana Idoia Gracia ha destacado que “desde el Ayuntamiento animamos a todas las y los donostiarras a participar y a proponer aquellas personas o entidades que, por su trayectoria, aportación o vinculación con la ciudad, consideren merecedoras de uno u otro galardón, teniendo en cuenta las características específicas de cada uno”.</w:t>
      </w:r>
    </w:p>
    <w:p w14:paraId="172BFF21" w14:textId="77777777" w:rsidR="00175AFC" w:rsidRDefault="00175AFC" w:rsidP="00175AFC">
      <w:pPr>
        <w:jc w:val="both"/>
        <w:rPr>
          <w:rFonts w:ascii="Arial" w:hAnsi="Arial"/>
          <w:color w:val="000000"/>
          <w:sz w:val="22"/>
          <w:szCs w:val="22"/>
        </w:rPr>
      </w:pPr>
    </w:p>
    <w:p w14:paraId="0DE75F78" w14:textId="77777777" w:rsidR="00175AFC" w:rsidRDefault="00175AFC" w:rsidP="00175AFC">
      <w:pPr>
        <w:jc w:val="both"/>
        <w:rPr>
          <w:rFonts w:ascii="Arial" w:hAnsi="Arial"/>
          <w:b/>
          <w:bCs/>
          <w:color w:val="000000"/>
          <w:sz w:val="22"/>
          <w:szCs w:val="22"/>
        </w:rPr>
      </w:pPr>
      <w:r>
        <w:rPr>
          <w:rFonts w:ascii="Arial" w:hAnsi="Arial"/>
          <w:b/>
          <w:bCs/>
          <w:color w:val="000000"/>
          <w:sz w:val="22"/>
          <w:szCs w:val="22"/>
        </w:rPr>
        <w:t>Tambor de Oro</w:t>
      </w:r>
    </w:p>
    <w:p w14:paraId="00464734" w14:textId="77777777" w:rsidR="00175AFC" w:rsidRDefault="00175AFC" w:rsidP="00175AFC">
      <w:pPr>
        <w:jc w:val="both"/>
        <w:rPr>
          <w:rFonts w:ascii="Arial" w:hAnsi="Arial"/>
          <w:color w:val="000000"/>
          <w:sz w:val="22"/>
          <w:szCs w:val="22"/>
        </w:rPr>
      </w:pPr>
    </w:p>
    <w:p w14:paraId="232649BE" w14:textId="77777777" w:rsidR="00175AFC" w:rsidRDefault="00175AFC" w:rsidP="00175AFC">
      <w:pPr>
        <w:jc w:val="both"/>
        <w:rPr>
          <w:rFonts w:ascii="Arial" w:hAnsi="Arial"/>
          <w:sz w:val="22"/>
          <w:szCs w:val="22"/>
        </w:rPr>
      </w:pPr>
      <w:r>
        <w:rPr>
          <w:rFonts w:ascii="Arial" w:hAnsi="Arial"/>
          <w:sz w:val="22"/>
          <w:szCs w:val="22"/>
        </w:rPr>
        <w:t xml:space="preserve">El Tambor de Oro es un reconocimiento de carácter singular, ya que distingue anualmente a una persona o </w:t>
      </w:r>
      <w:r w:rsidRPr="00BE15A7">
        <w:rPr>
          <w:rFonts w:ascii="Arial" w:hAnsi="Arial"/>
          <w:sz w:val="22"/>
          <w:szCs w:val="22"/>
        </w:rPr>
        <w:t>entidad con personalidad jurídica que, gracias a su trayectoria o a la actividad que desarrolla, haya contribuido de forma destacada a dar a conocer Donostia y proyectar una imagen positiva de la ciudad en el exterior, favoreciendo al mismo tiempo sus vínculos con otros lugares, instituciones</w:t>
      </w:r>
      <w:r>
        <w:rPr>
          <w:rFonts w:ascii="Arial" w:hAnsi="Arial"/>
          <w:sz w:val="22"/>
          <w:szCs w:val="22"/>
        </w:rPr>
        <w:t xml:space="preserve"> y personas.</w:t>
      </w:r>
    </w:p>
    <w:p w14:paraId="0EE7CC2E" w14:textId="77777777" w:rsidR="00175AFC" w:rsidRDefault="00175AFC" w:rsidP="00175AFC">
      <w:pPr>
        <w:jc w:val="both"/>
        <w:rPr>
          <w:rFonts w:ascii="Arial" w:hAnsi="Arial"/>
          <w:color w:val="000000"/>
          <w:sz w:val="22"/>
          <w:szCs w:val="22"/>
        </w:rPr>
      </w:pPr>
    </w:p>
    <w:p w14:paraId="6D90AD84" w14:textId="77777777" w:rsidR="00175AFC" w:rsidRPr="00BE15A7" w:rsidRDefault="00175AFC" w:rsidP="00175AFC">
      <w:pPr>
        <w:jc w:val="both"/>
        <w:rPr>
          <w:rFonts w:ascii="Arial" w:hAnsi="Arial"/>
          <w:sz w:val="22"/>
          <w:szCs w:val="22"/>
        </w:rPr>
      </w:pPr>
      <w:r>
        <w:rPr>
          <w:rFonts w:ascii="Arial" w:hAnsi="Arial"/>
          <w:color w:val="000000"/>
          <w:sz w:val="22"/>
          <w:szCs w:val="22"/>
        </w:rPr>
        <w:t xml:space="preserve">Durante el periodo comprendido entre el 19 de octubre y el 1 de noviembre, podrán presentar </w:t>
      </w:r>
      <w:r w:rsidRPr="00BE15A7">
        <w:rPr>
          <w:rFonts w:ascii="Arial" w:hAnsi="Arial"/>
          <w:sz w:val="22"/>
          <w:szCs w:val="22"/>
        </w:rPr>
        <w:t>propuestas las personas físicas empadronadas en Donostia, sin límite de edad; también podrán hacer sus propuestas las asociaciones, fundaciones y clubes deportivos o empresas, en los cuatro casos siempre que estén domiciliadas en la ciudad.</w:t>
      </w:r>
    </w:p>
    <w:p w14:paraId="625D929E" w14:textId="77777777" w:rsidR="00175AFC" w:rsidRDefault="00175AFC" w:rsidP="00175AFC">
      <w:pPr>
        <w:jc w:val="both"/>
        <w:rPr>
          <w:rFonts w:ascii="Arial" w:hAnsi="Arial"/>
          <w:color w:val="000000"/>
          <w:sz w:val="22"/>
          <w:szCs w:val="22"/>
        </w:rPr>
      </w:pPr>
    </w:p>
    <w:p w14:paraId="3ACEA65E" w14:textId="78C1C471" w:rsidR="00175AFC" w:rsidRDefault="00175AFC" w:rsidP="00175AFC">
      <w:pPr>
        <w:jc w:val="both"/>
        <w:rPr>
          <w:rFonts w:ascii="Arial" w:hAnsi="Arial"/>
          <w:color w:val="000000"/>
          <w:sz w:val="22"/>
          <w:szCs w:val="22"/>
        </w:rPr>
      </w:pPr>
      <w:r>
        <w:rPr>
          <w:rFonts w:ascii="Arial" w:hAnsi="Arial"/>
          <w:color w:val="000000"/>
          <w:sz w:val="22"/>
          <w:szCs w:val="22"/>
        </w:rPr>
        <w:t xml:space="preserve">Las propuestas se recogerán de forma online a través de </w:t>
      </w:r>
      <w:r w:rsidR="003845B6">
        <w:rPr>
          <w:rFonts w:ascii="Arial" w:hAnsi="Arial"/>
          <w:sz w:val="22"/>
          <w:szCs w:val="22"/>
        </w:rPr>
        <w:t xml:space="preserve">la página </w:t>
      </w:r>
      <w:r w:rsidR="003845B6" w:rsidRPr="003845B6">
        <w:rPr>
          <w:rFonts w:ascii="Arial" w:hAnsi="Arial"/>
          <w:sz w:val="22"/>
          <w:szCs w:val="22"/>
        </w:rPr>
        <w:t xml:space="preserve">web </w:t>
      </w:r>
      <w:r w:rsidR="003845B6" w:rsidRPr="003845B6">
        <w:rPr>
          <w:rFonts w:ascii="Arial" w:hAnsi="Arial"/>
          <w:b/>
          <w:bCs/>
          <w:sz w:val="22"/>
          <w:szCs w:val="22"/>
        </w:rPr>
        <w:t>www.donostia.eus/galardones</w:t>
      </w:r>
      <w:r w:rsidRPr="003845B6">
        <w:rPr>
          <w:rFonts w:ascii="Arial" w:hAnsi="Arial"/>
          <w:sz w:val="22"/>
          <w:szCs w:val="22"/>
        </w:rPr>
        <w:t xml:space="preserve"> y las personas que lo necesiten podrán solicitar ayuda físicamente en las oficinas del Servicio de Participación Ciudadana. P</w:t>
      </w:r>
      <w:r>
        <w:rPr>
          <w:rFonts w:ascii="Arial" w:hAnsi="Arial"/>
          <w:color w:val="000000"/>
          <w:sz w:val="22"/>
          <w:szCs w:val="22"/>
        </w:rPr>
        <w:t>odrá adjuntarse documentación para acompañar y argumentar la candidatura, y cada persona o entidad podrá presentar una única propuesta al Tambor de Oro.</w:t>
      </w:r>
    </w:p>
    <w:p w14:paraId="24D13E5D" w14:textId="77777777" w:rsidR="00175AFC" w:rsidRDefault="00175AFC" w:rsidP="00175AFC">
      <w:pPr>
        <w:jc w:val="both"/>
        <w:rPr>
          <w:rFonts w:ascii="Arial" w:hAnsi="Arial"/>
          <w:color w:val="000000"/>
          <w:sz w:val="22"/>
          <w:szCs w:val="22"/>
        </w:rPr>
      </w:pPr>
    </w:p>
    <w:p w14:paraId="0A5243F0" w14:textId="77777777" w:rsidR="00175AFC" w:rsidRDefault="00175AFC" w:rsidP="00175AFC">
      <w:pPr>
        <w:jc w:val="both"/>
        <w:rPr>
          <w:rFonts w:ascii="Arial" w:hAnsi="Arial"/>
          <w:b/>
          <w:bCs/>
          <w:color w:val="000000"/>
          <w:sz w:val="22"/>
          <w:szCs w:val="22"/>
        </w:rPr>
      </w:pPr>
      <w:r>
        <w:rPr>
          <w:rFonts w:ascii="Arial" w:hAnsi="Arial"/>
          <w:b/>
          <w:bCs/>
          <w:color w:val="000000"/>
          <w:sz w:val="22"/>
          <w:szCs w:val="22"/>
        </w:rPr>
        <w:t>Medallas al Mérito Ciudadano</w:t>
      </w:r>
    </w:p>
    <w:p w14:paraId="110512FA" w14:textId="77777777" w:rsidR="00175AFC" w:rsidRDefault="00175AFC" w:rsidP="00175AFC">
      <w:pPr>
        <w:jc w:val="both"/>
        <w:rPr>
          <w:rFonts w:ascii="Arial" w:hAnsi="Arial"/>
          <w:color w:val="000000"/>
          <w:sz w:val="22"/>
          <w:szCs w:val="22"/>
        </w:rPr>
      </w:pPr>
    </w:p>
    <w:p w14:paraId="0AB5AA8F" w14:textId="77777777" w:rsidR="00175AFC" w:rsidRDefault="00175AFC" w:rsidP="00175AFC">
      <w:pPr>
        <w:jc w:val="both"/>
        <w:rPr>
          <w:rFonts w:ascii="Arial" w:hAnsi="Arial"/>
          <w:color w:val="000000"/>
          <w:sz w:val="22"/>
          <w:szCs w:val="22"/>
        </w:rPr>
      </w:pPr>
      <w:r>
        <w:rPr>
          <w:rFonts w:ascii="Arial" w:hAnsi="Arial"/>
          <w:color w:val="000000"/>
          <w:sz w:val="22"/>
          <w:szCs w:val="22"/>
        </w:rPr>
        <w:t xml:space="preserve">En cuanto a las Medallas al Mérito Ciudadano, estas tienen una naturaleza diferente, ya que se trata de un reconocimiento que expresa el agradecimiento de la ciudad hacia personas o </w:t>
      </w:r>
      <w:r w:rsidRPr="00BE15A7">
        <w:rPr>
          <w:rFonts w:ascii="Arial" w:hAnsi="Arial"/>
          <w:sz w:val="22"/>
          <w:szCs w:val="22"/>
        </w:rPr>
        <w:t>entidades con personalidad jurídica que, desde ámbitos</w:t>
      </w:r>
      <w:r>
        <w:rPr>
          <w:rFonts w:ascii="Arial" w:hAnsi="Arial"/>
          <w:color w:val="000000"/>
          <w:sz w:val="22"/>
          <w:szCs w:val="22"/>
        </w:rPr>
        <w:t xml:space="preserve"> muy diversos, fortalecen la convivencia y aportan valor a la vida colectiva de Donostia.</w:t>
      </w:r>
    </w:p>
    <w:p w14:paraId="765CEA17" w14:textId="77777777" w:rsidR="00175AFC" w:rsidRDefault="00175AFC" w:rsidP="00175AFC">
      <w:pPr>
        <w:jc w:val="both"/>
        <w:rPr>
          <w:rFonts w:ascii="Arial" w:hAnsi="Arial"/>
          <w:color w:val="000000"/>
          <w:sz w:val="22"/>
          <w:szCs w:val="22"/>
        </w:rPr>
      </w:pPr>
    </w:p>
    <w:p w14:paraId="658D72C2" w14:textId="7B4B7D8F" w:rsidR="00175AFC" w:rsidRPr="00BE15A7" w:rsidRDefault="00175AFC" w:rsidP="00175AFC">
      <w:pPr>
        <w:jc w:val="both"/>
        <w:rPr>
          <w:rFonts w:ascii="Arial" w:hAnsi="Arial"/>
          <w:sz w:val="22"/>
          <w:szCs w:val="22"/>
        </w:rPr>
      </w:pPr>
      <w:r>
        <w:rPr>
          <w:rFonts w:ascii="Arial" w:hAnsi="Arial"/>
          <w:color w:val="000000"/>
          <w:sz w:val="22"/>
          <w:szCs w:val="22"/>
        </w:rPr>
        <w:lastRenderedPageBreak/>
        <w:t xml:space="preserve">También en este caso, las propuestas podrán presentarse entre el 19 de octubre y el 1 de noviembre. En este caso, podrán hacerlo las personas empadronadas en Donostia, sin límite </w:t>
      </w:r>
      <w:r w:rsidRPr="00BE15A7">
        <w:rPr>
          <w:rFonts w:ascii="Arial" w:hAnsi="Arial"/>
          <w:sz w:val="22"/>
          <w:szCs w:val="22"/>
        </w:rPr>
        <w:t xml:space="preserve">de edad; también podrán hacer sus propuestas las asociaciones, fundaciones y clubes deportivos, en los en los cuatro casos siempre que </w:t>
      </w:r>
      <w:r w:rsidR="00BE15A7" w:rsidRPr="00BE15A7">
        <w:rPr>
          <w:rFonts w:ascii="Arial" w:hAnsi="Arial"/>
          <w:sz w:val="22"/>
          <w:szCs w:val="22"/>
        </w:rPr>
        <w:t>estén domiciliadas</w:t>
      </w:r>
      <w:r w:rsidRPr="00BE15A7">
        <w:rPr>
          <w:rFonts w:ascii="Arial" w:hAnsi="Arial"/>
          <w:sz w:val="22"/>
          <w:szCs w:val="22"/>
        </w:rPr>
        <w:t xml:space="preserve"> en la ciudad.</w:t>
      </w:r>
    </w:p>
    <w:p w14:paraId="7E7866CC" w14:textId="77777777" w:rsidR="00175AFC" w:rsidRDefault="00175AFC" w:rsidP="00175AFC">
      <w:pPr>
        <w:jc w:val="both"/>
        <w:rPr>
          <w:rFonts w:ascii="Arial" w:hAnsi="Arial"/>
          <w:color w:val="000000"/>
          <w:sz w:val="22"/>
          <w:szCs w:val="22"/>
        </w:rPr>
      </w:pPr>
    </w:p>
    <w:p w14:paraId="6C0C96A5" w14:textId="1630A0C1" w:rsidR="00175AFC" w:rsidRDefault="00175AFC" w:rsidP="00175AFC">
      <w:pPr>
        <w:jc w:val="both"/>
        <w:rPr>
          <w:rFonts w:ascii="Arial" w:hAnsi="Arial"/>
          <w:color w:val="000000"/>
          <w:sz w:val="22"/>
          <w:szCs w:val="22"/>
        </w:rPr>
      </w:pPr>
      <w:r>
        <w:rPr>
          <w:rFonts w:ascii="Arial" w:hAnsi="Arial"/>
          <w:color w:val="000000"/>
          <w:sz w:val="22"/>
          <w:szCs w:val="22"/>
        </w:rPr>
        <w:t xml:space="preserve">Las candidaturas se presentarán igualmente a través de la </w:t>
      </w:r>
      <w:r w:rsidR="003845B6">
        <w:rPr>
          <w:rFonts w:ascii="Arial" w:hAnsi="Arial"/>
          <w:sz w:val="22"/>
          <w:szCs w:val="22"/>
        </w:rPr>
        <w:t xml:space="preserve">página </w:t>
      </w:r>
      <w:r w:rsidR="003845B6" w:rsidRPr="003845B6">
        <w:rPr>
          <w:rFonts w:ascii="Arial" w:hAnsi="Arial"/>
          <w:sz w:val="22"/>
          <w:szCs w:val="22"/>
        </w:rPr>
        <w:t xml:space="preserve">web </w:t>
      </w:r>
      <w:r w:rsidR="003845B6" w:rsidRPr="003845B6">
        <w:rPr>
          <w:rFonts w:ascii="Arial" w:hAnsi="Arial"/>
          <w:b/>
          <w:bCs/>
          <w:sz w:val="22"/>
          <w:szCs w:val="22"/>
        </w:rPr>
        <w:t>www.donostia.eus/galardon</w:t>
      </w:r>
      <w:r w:rsidR="003845B6">
        <w:rPr>
          <w:rFonts w:ascii="Arial" w:hAnsi="Arial"/>
          <w:b/>
          <w:bCs/>
          <w:sz w:val="22"/>
          <w:szCs w:val="22"/>
        </w:rPr>
        <w:t xml:space="preserve">es </w:t>
      </w:r>
      <w:r>
        <w:rPr>
          <w:rFonts w:ascii="Arial" w:hAnsi="Arial"/>
          <w:color w:val="000000"/>
          <w:sz w:val="22"/>
          <w:szCs w:val="22"/>
        </w:rPr>
        <w:t>y se podrá incorporar documentación que respalde la propuesta. En este caso existe una diferencia respecto al Tambor de Oro, y es que no hay límite en el número de propuestas que puede presentar una misma persona o entidad, aunque deberá cumplimentarse una ficha independiente para cada una de ellas.</w:t>
      </w:r>
    </w:p>
    <w:p w14:paraId="39FC1F91" w14:textId="77777777" w:rsidR="00175AFC" w:rsidRDefault="00175AFC" w:rsidP="00175AFC">
      <w:pPr>
        <w:jc w:val="both"/>
        <w:rPr>
          <w:rFonts w:ascii="Arial" w:hAnsi="Arial"/>
          <w:color w:val="000000"/>
          <w:sz w:val="22"/>
          <w:szCs w:val="22"/>
        </w:rPr>
      </w:pPr>
    </w:p>
    <w:p w14:paraId="1853DF9C" w14:textId="77777777" w:rsidR="00175AFC" w:rsidRDefault="00175AFC" w:rsidP="00175AFC">
      <w:pPr>
        <w:jc w:val="both"/>
        <w:rPr>
          <w:rFonts w:ascii="Arial" w:hAnsi="Arial"/>
          <w:b/>
          <w:bCs/>
          <w:color w:val="000000"/>
          <w:sz w:val="22"/>
          <w:szCs w:val="22"/>
        </w:rPr>
      </w:pPr>
      <w:r>
        <w:rPr>
          <w:rFonts w:ascii="Arial" w:hAnsi="Arial"/>
          <w:b/>
          <w:bCs/>
          <w:color w:val="000000"/>
          <w:sz w:val="22"/>
          <w:szCs w:val="22"/>
        </w:rPr>
        <w:t>Fomento de la participación ciudadana</w:t>
      </w:r>
    </w:p>
    <w:p w14:paraId="64B626A8" w14:textId="77777777" w:rsidR="00175AFC" w:rsidRDefault="00175AFC" w:rsidP="00175AFC">
      <w:pPr>
        <w:jc w:val="both"/>
        <w:rPr>
          <w:rFonts w:ascii="Arial" w:hAnsi="Arial"/>
          <w:color w:val="000000"/>
          <w:sz w:val="22"/>
          <w:szCs w:val="22"/>
        </w:rPr>
      </w:pPr>
    </w:p>
    <w:p w14:paraId="3AF5E3B5" w14:textId="77777777" w:rsidR="00175AFC" w:rsidRDefault="00175AFC" w:rsidP="00175AFC">
      <w:pPr>
        <w:jc w:val="both"/>
        <w:rPr>
          <w:rFonts w:ascii="Arial" w:hAnsi="Arial"/>
          <w:color w:val="000000"/>
          <w:sz w:val="22"/>
          <w:szCs w:val="22"/>
        </w:rPr>
      </w:pPr>
      <w:r>
        <w:rPr>
          <w:rFonts w:ascii="Arial" w:hAnsi="Arial"/>
          <w:color w:val="000000"/>
          <w:sz w:val="22"/>
          <w:szCs w:val="22"/>
        </w:rPr>
        <w:t>La unificación de plazos para la presentación de propuestas pretende facilitar el proceso de cara a la participación ciudadana, pero respetando que tanto el Tambor de Oro como las Medallas al Mérito Ciudadano mantengan su identidad y sus procedimientos diferenciados, ya que las candidaturas deberán presentarse específicamente al galardón al que se opta.</w:t>
      </w:r>
    </w:p>
    <w:p w14:paraId="062D6715" w14:textId="77777777" w:rsidR="00175AFC" w:rsidRDefault="00175AFC" w:rsidP="00175AFC">
      <w:pPr>
        <w:jc w:val="both"/>
        <w:rPr>
          <w:rFonts w:ascii="Arial" w:hAnsi="Arial"/>
          <w:color w:val="000000"/>
          <w:sz w:val="22"/>
          <w:szCs w:val="22"/>
        </w:rPr>
      </w:pPr>
    </w:p>
    <w:p w14:paraId="16D83951" w14:textId="77777777" w:rsidR="00175AFC" w:rsidRDefault="00175AFC" w:rsidP="00175AFC">
      <w:pPr>
        <w:jc w:val="both"/>
        <w:rPr>
          <w:rFonts w:ascii="Arial" w:hAnsi="Arial"/>
          <w:color w:val="000000"/>
          <w:sz w:val="22"/>
          <w:szCs w:val="22"/>
        </w:rPr>
      </w:pPr>
      <w:r>
        <w:rPr>
          <w:rFonts w:ascii="Arial" w:hAnsi="Arial"/>
          <w:color w:val="000000"/>
          <w:sz w:val="22"/>
          <w:szCs w:val="22"/>
        </w:rPr>
        <w:t>En cuanto al desarrollo del proceso en las siguientes fases, el Ayuntamiento informará oportunamente una vez finalizado el periodo de presentación de propuestas, ya que cada uno de los reconocimientos cuenta con un procedimiento diferente, y por lo tanto sus tiempos pueden ser variables.</w:t>
      </w:r>
    </w:p>
    <w:p w14:paraId="001BA41C" w14:textId="77777777" w:rsidR="00175AFC" w:rsidRDefault="00175AFC" w:rsidP="00175AFC">
      <w:pPr>
        <w:jc w:val="both"/>
        <w:rPr>
          <w:rFonts w:ascii="Arial" w:hAnsi="Arial"/>
          <w:color w:val="000000"/>
          <w:sz w:val="22"/>
          <w:szCs w:val="22"/>
        </w:rPr>
      </w:pPr>
    </w:p>
    <w:p w14:paraId="3F7364D1" w14:textId="77777777" w:rsidR="00175AFC" w:rsidRDefault="00175AFC" w:rsidP="00175AFC">
      <w:pPr>
        <w:jc w:val="right"/>
        <w:rPr>
          <w:rFonts w:ascii="Arial" w:hAnsi="Arial"/>
          <w:color w:val="000000"/>
          <w:sz w:val="22"/>
          <w:szCs w:val="22"/>
        </w:rPr>
      </w:pPr>
    </w:p>
    <w:p w14:paraId="48EF8AEE" w14:textId="77777777" w:rsidR="00175AFC" w:rsidRDefault="00175AFC" w:rsidP="00175AFC">
      <w:pPr>
        <w:jc w:val="right"/>
      </w:pPr>
      <w:r>
        <w:rPr>
          <w:rFonts w:ascii="Arial" w:hAnsi="Arial"/>
          <w:color w:val="000000"/>
          <w:sz w:val="22"/>
          <w:szCs w:val="22"/>
        </w:rPr>
        <w:t>Donostia / San Sebastián, 16 de octubre de 2026</w:t>
      </w:r>
    </w:p>
    <w:p w14:paraId="603432B1" w14:textId="4AE83CBF" w:rsidR="00CB1EFF" w:rsidRPr="00175AFC" w:rsidRDefault="00CB1EFF" w:rsidP="00175AFC"/>
    <w:sectPr w:rsidR="00CB1EFF" w:rsidRPr="00175AFC">
      <w:headerReference w:type="default" r:id="rId6"/>
      <w:pgSz w:w="11906" w:h="16838"/>
      <w:pgMar w:top="2410" w:right="1701" w:bottom="1418"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3F5E0" w14:textId="77777777" w:rsidR="007917CA" w:rsidRDefault="007917CA">
      <w:r>
        <w:separator/>
      </w:r>
    </w:p>
  </w:endnote>
  <w:endnote w:type="continuationSeparator" w:id="0">
    <w:p w14:paraId="15DAB76D" w14:textId="77777777" w:rsidR="007917CA" w:rsidRDefault="007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B7A2" w14:textId="77777777" w:rsidR="007917CA" w:rsidRDefault="007917CA">
      <w:r>
        <w:separator/>
      </w:r>
    </w:p>
  </w:footnote>
  <w:footnote w:type="continuationSeparator" w:id="0">
    <w:p w14:paraId="75FE0D9F" w14:textId="77777777" w:rsidR="007917CA" w:rsidRDefault="0079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A8B8" w14:textId="77777777" w:rsidR="00CB1EFF" w:rsidRDefault="00BB4FA4">
    <w:pPr>
      <w:pStyle w:val="Encabezado"/>
      <w:rPr>
        <w:lang w:val="eu-ES" w:eastAsia="eu-ES"/>
      </w:rPr>
    </w:pPr>
    <w:r>
      <w:rPr>
        <w:noProof/>
        <w:lang w:val="eu-ES" w:eastAsia="eu-ES"/>
      </w:rPr>
      <w:drawing>
        <wp:anchor distT="0" distB="0" distL="0" distR="0" simplePos="0" relativeHeight="3" behindDoc="1" locked="0" layoutInCell="1" allowOverlap="1" wp14:anchorId="032FD1A7" wp14:editId="5C8AB2E8">
          <wp:simplePos x="0" y="0"/>
          <wp:positionH relativeFrom="column">
            <wp:posOffset>-1076325</wp:posOffset>
          </wp:positionH>
          <wp:positionV relativeFrom="paragraph">
            <wp:posOffset>-447675</wp:posOffset>
          </wp:positionV>
          <wp:extent cx="7556500" cy="128079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13" t="-99" r="-13" b="-99"/>
                  <a:stretch>
                    <a:fillRect/>
                  </a:stretch>
                </pic:blipFill>
                <pic:spPr bwMode="auto">
                  <a:xfrm>
                    <a:off x="0" y="0"/>
                    <a:ext cx="7556500" cy="12807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1EFF"/>
    <w:rsid w:val="0002345F"/>
    <w:rsid w:val="00027380"/>
    <w:rsid w:val="000D2894"/>
    <w:rsid w:val="000F648A"/>
    <w:rsid w:val="0010114C"/>
    <w:rsid w:val="00115FC7"/>
    <w:rsid w:val="001439E4"/>
    <w:rsid w:val="0015615D"/>
    <w:rsid w:val="00175AFC"/>
    <w:rsid w:val="002733B7"/>
    <w:rsid w:val="002A6667"/>
    <w:rsid w:val="002D79B1"/>
    <w:rsid w:val="002F7210"/>
    <w:rsid w:val="00362288"/>
    <w:rsid w:val="003845B6"/>
    <w:rsid w:val="003A0C1D"/>
    <w:rsid w:val="0043389D"/>
    <w:rsid w:val="004A43E0"/>
    <w:rsid w:val="005159A0"/>
    <w:rsid w:val="00543E82"/>
    <w:rsid w:val="00575388"/>
    <w:rsid w:val="00596C83"/>
    <w:rsid w:val="005A34E8"/>
    <w:rsid w:val="005E6B87"/>
    <w:rsid w:val="005F43A1"/>
    <w:rsid w:val="006003C6"/>
    <w:rsid w:val="006D1FB0"/>
    <w:rsid w:val="006F5E49"/>
    <w:rsid w:val="007211F6"/>
    <w:rsid w:val="007222AB"/>
    <w:rsid w:val="0072696B"/>
    <w:rsid w:val="0074466C"/>
    <w:rsid w:val="00772BA8"/>
    <w:rsid w:val="007917CA"/>
    <w:rsid w:val="007E31D4"/>
    <w:rsid w:val="007E7D86"/>
    <w:rsid w:val="007F71FD"/>
    <w:rsid w:val="008275FE"/>
    <w:rsid w:val="008438A8"/>
    <w:rsid w:val="00895007"/>
    <w:rsid w:val="008B7146"/>
    <w:rsid w:val="008D7BEB"/>
    <w:rsid w:val="00915ECE"/>
    <w:rsid w:val="009949C9"/>
    <w:rsid w:val="009B16DD"/>
    <w:rsid w:val="00AB7493"/>
    <w:rsid w:val="00AD400B"/>
    <w:rsid w:val="00B25757"/>
    <w:rsid w:val="00B46AAA"/>
    <w:rsid w:val="00B8115B"/>
    <w:rsid w:val="00B86B34"/>
    <w:rsid w:val="00B87A10"/>
    <w:rsid w:val="00BA1908"/>
    <w:rsid w:val="00BA71FA"/>
    <w:rsid w:val="00BB4FA4"/>
    <w:rsid w:val="00BD12E1"/>
    <w:rsid w:val="00BD6A2B"/>
    <w:rsid w:val="00BE15A7"/>
    <w:rsid w:val="00C00D58"/>
    <w:rsid w:val="00C14210"/>
    <w:rsid w:val="00C67F2A"/>
    <w:rsid w:val="00CB1EFF"/>
    <w:rsid w:val="00CF0B68"/>
    <w:rsid w:val="00D041A4"/>
    <w:rsid w:val="00D86BA2"/>
    <w:rsid w:val="00DF0BBF"/>
    <w:rsid w:val="00E51B9A"/>
    <w:rsid w:val="00E654E3"/>
    <w:rsid w:val="00E6786C"/>
    <w:rsid w:val="00EE0E40"/>
    <w:rsid w:val="00EE1A52"/>
    <w:rsid w:val="00FB44D2"/>
    <w:rsid w:val="00FC2938"/>
    <w:rsid w:val="00FD161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21C2"/>
  <w15:docId w15:val="{DC2AD6C3-0D9F-430D-962A-CEEF31E3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0"/>
      <w:szCs w:val="20"/>
      <w:lang w:val="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qFormat/>
  </w:style>
  <w:style w:type="character" w:customStyle="1" w:styleId="Fuentedeprrafopredeter1">
    <w:name w:val="Fuente de párrafo predeter.1"/>
    <w:qFormat/>
  </w:style>
  <w:style w:type="character" w:customStyle="1" w:styleId="Internetesteka">
    <w:name w:val="Internet esteka"/>
    <w:rPr>
      <w:color w:val="000080"/>
      <w:u w:val="single"/>
    </w:rPr>
  </w:style>
  <w:style w:type="character" w:customStyle="1" w:styleId="ListLabel1">
    <w:name w:val="ListLabel 1"/>
    <w:qFormat/>
    <w:rPr>
      <w:rFonts w:ascii="Arial" w:hAnsi="Arial" w:cs="Arial"/>
      <w:color w:val="auto"/>
      <w:sz w:val="22"/>
      <w:szCs w:val="22"/>
      <w:lang w:val="eu-ES"/>
    </w:rPr>
  </w:style>
  <w:style w:type="character" w:customStyle="1" w:styleId="ListLabel2">
    <w:name w:val="ListLabel 2"/>
    <w:qFormat/>
    <w:rPr>
      <w:rFonts w:ascii="Arial" w:hAnsi="Arial" w:cs="Arial"/>
      <w:color w:val="auto"/>
      <w:sz w:val="22"/>
      <w:szCs w:val="22"/>
    </w:rPr>
  </w:style>
  <w:style w:type="character" w:customStyle="1" w:styleId="ListLabel3">
    <w:name w:val="ListLabel 3"/>
    <w:qFormat/>
    <w:rPr>
      <w:rFonts w:ascii="Arial" w:hAnsi="Arial" w:cs="Arial"/>
      <w:color w:val="auto"/>
      <w:sz w:val="22"/>
      <w:szCs w:val="22"/>
      <w:lang w:val="eu-ES"/>
    </w:rPr>
  </w:style>
  <w:style w:type="character" w:customStyle="1" w:styleId="ListLabel4">
    <w:name w:val="ListLabel 4"/>
    <w:qFormat/>
    <w:rPr>
      <w:rFonts w:ascii="Arial" w:hAnsi="Arial" w:cs="Arial"/>
      <w:color w:val="auto"/>
      <w:sz w:val="22"/>
      <w:szCs w:val="22"/>
    </w:rPr>
  </w:style>
  <w:style w:type="character" w:customStyle="1" w:styleId="ListLabel5">
    <w:name w:val="ListLabel 5"/>
    <w:qFormat/>
    <w:rPr>
      <w:rFonts w:ascii="Arial" w:hAnsi="Arial" w:cs="Arial"/>
      <w:color w:val="auto"/>
      <w:sz w:val="22"/>
      <w:szCs w:val="22"/>
      <w:lang w:val="eu-ES"/>
    </w:rPr>
  </w:style>
  <w:style w:type="character" w:customStyle="1" w:styleId="ListLabel6">
    <w:name w:val="ListLabel 6"/>
    <w:qFormat/>
    <w:rPr>
      <w:rFonts w:ascii="Arial" w:hAnsi="Arial" w:cs="Arial"/>
      <w:color w:val="auto"/>
      <w:sz w:val="22"/>
      <w:szCs w:val="22"/>
    </w:rPr>
  </w:style>
  <w:style w:type="character" w:customStyle="1" w:styleId="ListLabel7">
    <w:name w:val="ListLabel 7"/>
    <w:qFormat/>
    <w:rPr>
      <w:rFonts w:ascii="Arial" w:hAnsi="Arial" w:cs="Arial"/>
      <w:color w:val="auto"/>
      <w:sz w:val="22"/>
      <w:szCs w:val="22"/>
      <w:highlight w:val="yellow"/>
      <w:lang w:val="eu-ES"/>
    </w:rPr>
  </w:style>
  <w:style w:type="character" w:customStyle="1" w:styleId="ListLabel8">
    <w:name w:val="ListLabel 8"/>
    <w:qFormat/>
    <w:rPr>
      <w:rFonts w:ascii="Arial" w:hAnsi="Arial" w:cs="Arial"/>
      <w:color w:val="auto"/>
      <w:sz w:val="22"/>
      <w:szCs w:val="22"/>
      <w:highlight w:val="yellow"/>
    </w:rPr>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Arial"/>
      <w:i/>
      <w:iCs/>
      <w:sz w:val="24"/>
      <w:szCs w:val="24"/>
    </w:rPr>
  </w:style>
  <w:style w:type="paragraph" w:customStyle="1" w:styleId="Indizea">
    <w:name w:val="Indizea"/>
    <w:basedOn w:val="Normal"/>
    <w:qFormat/>
    <w:pPr>
      <w:suppressLineNumbers/>
    </w:pPr>
    <w:rPr>
      <w:rFonts w:cs="Mangal"/>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character" w:styleId="Hipervnculo">
    <w:name w:val="Hyperlink"/>
    <w:basedOn w:val="Fuentedeprrafopredeter"/>
    <w:uiPriority w:val="99"/>
    <w:unhideWhenUsed/>
    <w:rsid w:val="000D2894"/>
    <w:rPr>
      <w:color w:val="0563C1" w:themeColor="hyperlink"/>
      <w:u w:val="single"/>
    </w:rPr>
  </w:style>
  <w:style w:type="character" w:styleId="Mencinsinresolver">
    <w:name w:val="Unresolved Mention"/>
    <w:basedOn w:val="Fuentedeprrafopredeter"/>
    <w:uiPriority w:val="99"/>
    <w:semiHidden/>
    <w:unhideWhenUsed/>
    <w:rsid w:val="000D2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1207</Words>
  <Characters>6881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sd</dc:creator>
  <dc:description/>
  <cp:lastModifiedBy>Sarasola Nieto Cristina</cp:lastModifiedBy>
  <cp:revision>18</cp:revision>
  <cp:lastPrinted>2022-10-26T09:49:00Z</cp:lastPrinted>
  <dcterms:created xsi:type="dcterms:W3CDTF">2026-10-06T09:30:00Z</dcterms:created>
  <dcterms:modified xsi:type="dcterms:W3CDTF">2026-10-16T06:56:00Z</dcterms:modified>
  <dc:language>eu-ES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