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E32A" w14:textId="6905C69D" w:rsidR="00E85DB9" w:rsidRPr="00E85DB9" w:rsidRDefault="00E85DB9" w:rsidP="002858AE">
      <w:pPr>
        <w:jc w:val="center"/>
        <w:rPr>
          <w:rFonts w:ascii="Arial" w:hAnsi="Arial" w:cs="Arial"/>
          <w:b/>
          <w:bCs/>
          <w:sz w:val="28"/>
          <w:szCs w:val="28"/>
          <w:lang w:val="eu-ES"/>
        </w:rPr>
      </w:pPr>
      <w:r w:rsidRPr="00E85DB9">
        <w:rPr>
          <w:rFonts w:ascii="Arial" w:hAnsi="Arial" w:cs="Arial"/>
          <w:b/>
          <w:bCs/>
          <w:sz w:val="28"/>
          <w:szCs w:val="28"/>
          <w:lang w:val="eu-ES"/>
        </w:rPr>
        <w:t>Udalak bere finantza-egonkortasuna</w:t>
      </w:r>
      <w:r w:rsidR="008C74B0">
        <w:rPr>
          <w:rFonts w:ascii="Arial" w:hAnsi="Arial" w:cs="Arial"/>
          <w:b/>
          <w:bCs/>
          <w:sz w:val="28"/>
          <w:szCs w:val="28"/>
          <w:lang w:val="eu-ES"/>
        </w:rPr>
        <w:t xml:space="preserve"> mantentzen du </w:t>
      </w:r>
      <w:r w:rsidRPr="00E85DB9">
        <w:rPr>
          <w:rFonts w:ascii="Arial" w:hAnsi="Arial" w:cs="Arial"/>
          <w:b/>
          <w:bCs/>
          <w:sz w:val="28"/>
          <w:szCs w:val="28"/>
          <w:lang w:val="eu-ES"/>
        </w:rPr>
        <w:t xml:space="preserve">eta </w:t>
      </w:r>
      <w:r w:rsidR="002858AE" w:rsidRPr="00E85DB9">
        <w:rPr>
          <w:rFonts w:ascii="Arial" w:hAnsi="Arial" w:cs="Arial"/>
          <w:b/>
          <w:bCs/>
          <w:sz w:val="28"/>
          <w:szCs w:val="28"/>
          <w:lang w:val="eu-ES"/>
        </w:rPr>
        <w:t>etorkizunari</w:t>
      </w:r>
      <w:r w:rsidR="002858AE">
        <w:rPr>
          <w:rFonts w:ascii="Arial" w:hAnsi="Arial" w:cs="Arial"/>
          <w:b/>
          <w:bCs/>
          <w:sz w:val="28"/>
          <w:szCs w:val="28"/>
          <w:lang w:val="eu-ES"/>
        </w:rPr>
        <w:t xml:space="preserve"> </w:t>
      </w:r>
      <w:r w:rsidR="002858AE" w:rsidRPr="00E85DB9">
        <w:rPr>
          <w:rFonts w:ascii="Arial" w:hAnsi="Arial" w:cs="Arial"/>
          <w:b/>
          <w:bCs/>
          <w:sz w:val="28"/>
          <w:szCs w:val="28"/>
          <w:lang w:val="eu-ES"/>
        </w:rPr>
        <w:t>aurre egiten dio</w:t>
      </w:r>
      <w:r w:rsidR="002858AE" w:rsidRPr="00324621">
        <w:rPr>
          <w:rFonts w:ascii="Arial" w:hAnsi="Arial" w:cs="Arial"/>
          <w:b/>
          <w:bCs/>
          <w:sz w:val="28"/>
          <w:szCs w:val="28"/>
          <w:lang w:val="eu-ES"/>
        </w:rPr>
        <w:t xml:space="preserve"> </w:t>
      </w:r>
      <w:r w:rsidRPr="00E85DB9">
        <w:rPr>
          <w:rFonts w:ascii="Arial" w:hAnsi="Arial" w:cs="Arial"/>
          <w:b/>
          <w:bCs/>
          <w:sz w:val="28"/>
          <w:szCs w:val="28"/>
          <w:lang w:val="eu-ES"/>
        </w:rPr>
        <w:t>proiektu estrategikoak garatzeko gaitasuna</w:t>
      </w:r>
      <w:r w:rsidR="00324621">
        <w:rPr>
          <w:rFonts w:ascii="Arial" w:hAnsi="Arial" w:cs="Arial"/>
          <w:b/>
          <w:bCs/>
          <w:sz w:val="28"/>
          <w:szCs w:val="28"/>
          <w:lang w:val="eu-ES"/>
        </w:rPr>
        <w:t>rekin</w:t>
      </w:r>
      <w:r w:rsidRPr="00E85DB9">
        <w:rPr>
          <w:rFonts w:ascii="Arial" w:hAnsi="Arial" w:cs="Arial"/>
          <w:b/>
          <w:bCs/>
          <w:sz w:val="28"/>
          <w:szCs w:val="28"/>
          <w:lang w:val="eu-ES"/>
        </w:rPr>
        <w:t xml:space="preserve"> </w:t>
      </w:r>
    </w:p>
    <w:p w14:paraId="1BF088EB" w14:textId="77777777" w:rsidR="00E85DB9" w:rsidRPr="00E85DB9" w:rsidRDefault="00E85DB9" w:rsidP="00E85DB9">
      <w:pPr>
        <w:jc w:val="center"/>
        <w:rPr>
          <w:rFonts w:ascii="Arial" w:hAnsi="Arial" w:cs="Arial"/>
          <w:i/>
          <w:iCs/>
          <w:sz w:val="22"/>
          <w:szCs w:val="22"/>
          <w:lang w:val="eu-ES"/>
        </w:rPr>
      </w:pPr>
      <w:r w:rsidRPr="00E85DB9">
        <w:rPr>
          <w:rFonts w:ascii="Arial" w:hAnsi="Arial" w:cs="Arial"/>
          <w:i/>
          <w:iCs/>
          <w:sz w:val="22"/>
          <w:szCs w:val="22"/>
          <w:lang w:val="eu-ES"/>
        </w:rPr>
        <w:t>Udalak 2025eko Kontu Orokorra izapidetzen hasi da</w:t>
      </w:r>
    </w:p>
    <w:p w14:paraId="434E13F9" w14:textId="77777777" w:rsidR="00C46A20" w:rsidRDefault="00C46A20" w:rsidP="00E85DB9">
      <w:pPr>
        <w:jc w:val="both"/>
        <w:rPr>
          <w:rFonts w:ascii="Arial" w:hAnsi="Arial" w:cs="Arial"/>
          <w:sz w:val="22"/>
          <w:szCs w:val="22"/>
          <w:lang w:val="eu-ES"/>
        </w:rPr>
      </w:pPr>
    </w:p>
    <w:p w14:paraId="75C15DDC" w14:textId="2A2E0A4E"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Donostiako Udalak aste honetan bertan jarri du martxan 2025eko ekitaldiko </w:t>
      </w:r>
      <w:r w:rsidR="00306F2A">
        <w:rPr>
          <w:rFonts w:ascii="Arial" w:hAnsi="Arial" w:cs="Arial"/>
          <w:sz w:val="22"/>
          <w:szCs w:val="22"/>
          <w:lang w:val="eu-ES"/>
        </w:rPr>
        <w:t>K</w:t>
      </w:r>
      <w:r w:rsidRPr="00E85DB9">
        <w:rPr>
          <w:rFonts w:ascii="Arial" w:hAnsi="Arial" w:cs="Arial"/>
          <w:sz w:val="22"/>
          <w:szCs w:val="22"/>
          <w:lang w:val="eu-ES"/>
        </w:rPr>
        <w:t xml:space="preserve">ontu </w:t>
      </w:r>
      <w:r w:rsidR="00306F2A">
        <w:rPr>
          <w:rFonts w:ascii="Arial" w:hAnsi="Arial" w:cs="Arial"/>
          <w:sz w:val="22"/>
          <w:szCs w:val="22"/>
          <w:lang w:val="eu-ES"/>
        </w:rPr>
        <w:t>O</w:t>
      </w:r>
      <w:r w:rsidRPr="00E85DB9">
        <w:rPr>
          <w:rFonts w:ascii="Arial" w:hAnsi="Arial" w:cs="Arial"/>
          <w:sz w:val="22"/>
          <w:szCs w:val="22"/>
          <w:lang w:val="eu-ES"/>
        </w:rPr>
        <w:t>rokorra onartzeko tramitazioa. Dokumentu honek Udalak eta udal-sektore publikoa osatzen duten gainerako erakundeek ekitaldian zehar egindako aurrekontu-, aurrekontuz kanpoko, ondare- eta diruzaintza-eragiketen multzoa jasotzen du.</w:t>
      </w:r>
    </w:p>
    <w:p w14:paraId="163AAD7F"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Kerman Orbegozo Ogasun eta Finantza zinegotziak adierazi duenez, "2025eko Kontu Orokorrak jarduera ekonomiko eta inbertitzaile bizia duen udal-administrazioa erakusten du, finantza-egonkortasunari eusten diona eta kalitatezko proiektu estrategikoak eta zerbitzu publikoak garatzen jarraitzeko gaitasun nahikoari eusten diona".</w:t>
      </w:r>
    </w:p>
    <w:p w14:paraId="641E9C41" w14:textId="77777777" w:rsidR="00E85DB9" w:rsidRDefault="00E85DB9" w:rsidP="00E85DB9">
      <w:pPr>
        <w:jc w:val="both"/>
        <w:rPr>
          <w:rFonts w:ascii="Arial" w:hAnsi="Arial" w:cs="Arial"/>
          <w:sz w:val="22"/>
          <w:szCs w:val="22"/>
          <w:lang w:val="eu-ES"/>
        </w:rPr>
      </w:pPr>
      <w:r w:rsidRPr="00E85DB9">
        <w:rPr>
          <w:rFonts w:ascii="Arial" w:hAnsi="Arial" w:cs="Arial"/>
          <w:sz w:val="22"/>
          <w:szCs w:val="22"/>
          <w:lang w:val="eu-ES"/>
        </w:rPr>
        <w:t>Azken Tokiko Gobernu Batzarrean ezagutzera eman ondoren eta Kontuen Batzorde Berezira bidali ondoren, jendaurrean jarriko da 15 egunez eta, azkenik, Udalbatzari aurkeztuko zaio behin betiko onar dezan Herri Kontuen Euskal Epaitegira bidali aurretik.</w:t>
      </w:r>
    </w:p>
    <w:p w14:paraId="39D7C8E0" w14:textId="4CC4D3FC" w:rsidR="008C74B0" w:rsidRPr="00113D15"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Dokumentuak Udalaren, erakunde autonomoen, enpresa-erakunde publikoen, udal-sozietate publikoen eta gainerako erakunde </w:t>
      </w:r>
      <w:proofErr w:type="spellStart"/>
      <w:r w:rsidRPr="00E85DB9">
        <w:rPr>
          <w:rFonts w:ascii="Arial" w:hAnsi="Arial" w:cs="Arial"/>
          <w:sz w:val="22"/>
          <w:szCs w:val="22"/>
          <w:lang w:val="eu-ES"/>
        </w:rPr>
        <w:t>partaidetuen</w:t>
      </w:r>
      <w:proofErr w:type="spellEnd"/>
      <w:r w:rsidRPr="00E85DB9">
        <w:rPr>
          <w:rFonts w:ascii="Arial" w:hAnsi="Arial" w:cs="Arial"/>
          <w:sz w:val="22"/>
          <w:szCs w:val="22"/>
          <w:lang w:val="eu-ES"/>
        </w:rPr>
        <w:t xml:space="preserve"> kontuak biltzen ditu. Horien artean daude Donostia Kirola, </w:t>
      </w:r>
      <w:proofErr w:type="spellStart"/>
      <w:r w:rsidRPr="00E85DB9">
        <w:rPr>
          <w:rFonts w:ascii="Arial" w:hAnsi="Arial" w:cs="Arial"/>
          <w:sz w:val="22"/>
          <w:szCs w:val="22"/>
          <w:lang w:val="eu-ES"/>
        </w:rPr>
        <w:t>DonostiaTik</w:t>
      </w:r>
      <w:proofErr w:type="spellEnd"/>
      <w:r w:rsidRPr="00E85DB9">
        <w:rPr>
          <w:rFonts w:ascii="Arial" w:hAnsi="Arial" w:cs="Arial"/>
          <w:sz w:val="22"/>
          <w:szCs w:val="22"/>
          <w:lang w:val="eu-ES"/>
        </w:rPr>
        <w:t xml:space="preserve">, Udalaren Musika eta Dantza Eskola, Donostia Kultura, Etxegintza, </w:t>
      </w:r>
      <w:proofErr w:type="spellStart"/>
      <w:r w:rsidRPr="00E85DB9">
        <w:rPr>
          <w:rFonts w:ascii="Arial" w:hAnsi="Arial" w:cs="Arial"/>
          <w:sz w:val="22"/>
          <w:szCs w:val="22"/>
          <w:lang w:val="eu-ES"/>
        </w:rPr>
        <w:t>Dbus</w:t>
      </w:r>
      <w:proofErr w:type="spellEnd"/>
      <w:r w:rsidRPr="00E85DB9">
        <w:rPr>
          <w:rFonts w:ascii="Arial" w:hAnsi="Arial" w:cs="Arial"/>
          <w:sz w:val="22"/>
          <w:szCs w:val="22"/>
          <w:lang w:val="eu-ES"/>
        </w:rPr>
        <w:t>, Donostia Turismo</w:t>
      </w:r>
      <w:r w:rsidR="00040FE7">
        <w:rPr>
          <w:rFonts w:ascii="Arial" w:hAnsi="Arial" w:cs="Arial"/>
          <w:sz w:val="22"/>
          <w:szCs w:val="22"/>
          <w:lang w:val="eu-ES"/>
        </w:rPr>
        <w:t>a</w:t>
      </w:r>
      <w:r w:rsidRPr="00E85DB9">
        <w:rPr>
          <w:rFonts w:ascii="Arial" w:hAnsi="Arial" w:cs="Arial"/>
          <w:sz w:val="22"/>
          <w:szCs w:val="22"/>
          <w:lang w:val="eu-ES"/>
        </w:rPr>
        <w:t>, Donostiako Sustapena edo Anoeta Kiroldegia.</w:t>
      </w:r>
    </w:p>
    <w:p w14:paraId="67C055FD" w14:textId="63F7F0A5" w:rsidR="00E85DB9" w:rsidRPr="008C74B0" w:rsidRDefault="00E85DB9" w:rsidP="00E85DB9">
      <w:pPr>
        <w:jc w:val="both"/>
        <w:rPr>
          <w:rFonts w:ascii="Arial" w:hAnsi="Arial" w:cs="Arial"/>
          <w:b/>
          <w:bCs/>
          <w:sz w:val="22"/>
          <w:szCs w:val="22"/>
          <w:lang w:val="eu-ES"/>
        </w:rPr>
      </w:pPr>
      <w:r w:rsidRPr="008C74B0">
        <w:rPr>
          <w:rFonts w:ascii="Arial" w:hAnsi="Arial" w:cs="Arial"/>
          <w:b/>
          <w:bCs/>
          <w:sz w:val="22"/>
          <w:szCs w:val="22"/>
          <w:lang w:val="eu-ES"/>
        </w:rPr>
        <w:t>575 milioitik gorako baimendutako gastua eta 108 milioiko inbertsioa</w:t>
      </w:r>
    </w:p>
    <w:p w14:paraId="58AFBF59"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Udalak 2025ean izango duen behin betiko aurrekontua 636 milioi eurokoa izango da. Kopuru horretatik, Udalak 575 milioi euroko gastua baimendu zuen, behin betiko aurrekontuaren % 90,42. Aitortutako obligazioak 495,4 milioi eurokoak izan ziren.</w:t>
      </w:r>
    </w:p>
    <w:p w14:paraId="694C9D82"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Ekitaldian 108 milioi eurotik gorako inbertsioak egin ziren, Udalak azken ekitaldietan egindako inbertsio publikoaren maila handia finkatuz.</w:t>
      </w:r>
    </w:p>
    <w:p w14:paraId="3B437ECF"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2025ean gauzatutako jarduketa nagusien artean, honako hauei lotutako inbertsioak nabarmentzen dira: Bretxa, Lorategi Hiria, hiri-irisgarritasuna hobetzea, asfaltatzea, bidegorriak, haur-eskolak, Haizearen Orrazia, Miramon, San Telmo, Iztuetako </w:t>
      </w:r>
      <w:proofErr w:type="spellStart"/>
      <w:r w:rsidRPr="00E85DB9">
        <w:rPr>
          <w:rFonts w:ascii="Arial" w:hAnsi="Arial" w:cs="Arial"/>
          <w:sz w:val="22"/>
          <w:szCs w:val="22"/>
          <w:lang w:val="eu-ES"/>
        </w:rPr>
        <w:t>biaduktua</w:t>
      </w:r>
      <w:proofErr w:type="spellEnd"/>
      <w:r w:rsidRPr="00E85DB9">
        <w:rPr>
          <w:rFonts w:ascii="Arial" w:hAnsi="Arial" w:cs="Arial"/>
          <w:sz w:val="22"/>
          <w:szCs w:val="22"/>
          <w:lang w:val="eu-ES"/>
        </w:rPr>
        <w:t xml:space="preserve"> edo hiri-</w:t>
      </w:r>
      <w:proofErr w:type="spellStart"/>
      <w:r w:rsidRPr="00E85DB9">
        <w:rPr>
          <w:rFonts w:ascii="Arial" w:hAnsi="Arial" w:cs="Arial"/>
          <w:sz w:val="22"/>
          <w:szCs w:val="22"/>
          <w:lang w:val="eu-ES"/>
        </w:rPr>
        <w:t>berroneratzeko</w:t>
      </w:r>
      <w:proofErr w:type="spellEnd"/>
      <w:r w:rsidRPr="00E85DB9">
        <w:rPr>
          <w:rFonts w:ascii="Arial" w:hAnsi="Arial" w:cs="Arial"/>
          <w:sz w:val="22"/>
          <w:szCs w:val="22"/>
          <w:lang w:val="eu-ES"/>
        </w:rPr>
        <w:t xml:space="preserve"> jarduketak.</w:t>
      </w:r>
    </w:p>
    <w:p w14:paraId="6510D5F9" w14:textId="4C2EF55B" w:rsidR="00040FE7" w:rsidRPr="00040FE7" w:rsidRDefault="00040FE7" w:rsidP="00E85DB9">
      <w:pPr>
        <w:jc w:val="both"/>
        <w:rPr>
          <w:rFonts w:ascii="Arial" w:hAnsi="Arial" w:cs="Arial"/>
          <w:sz w:val="22"/>
          <w:szCs w:val="22"/>
          <w:lang w:val="eu-ES"/>
        </w:rPr>
      </w:pPr>
      <w:r w:rsidRPr="00040FE7">
        <w:rPr>
          <w:rFonts w:ascii="Arial" w:hAnsi="Arial" w:cs="Arial"/>
          <w:sz w:val="22"/>
          <w:szCs w:val="22"/>
          <w:lang w:val="eu-ES"/>
        </w:rPr>
        <w:t>Likidazioak</w:t>
      </w:r>
      <w:r w:rsidRPr="00040FE7">
        <w:rPr>
          <w:rFonts w:ascii="Arial" w:hAnsi="Arial" w:cs="Arial"/>
          <w:sz w:val="22"/>
          <w:szCs w:val="22"/>
          <w:lang w:val="eu-ES"/>
        </w:rPr>
        <w:t xml:space="preserve">, gainera, </w:t>
      </w:r>
      <w:r w:rsidRPr="00040FE7">
        <w:rPr>
          <w:rFonts w:ascii="Arial" w:hAnsi="Arial" w:cs="Arial"/>
          <w:sz w:val="22"/>
          <w:szCs w:val="22"/>
          <w:lang w:val="eu-ES"/>
        </w:rPr>
        <w:t xml:space="preserve">100 milioi eurotik gorako kredituak txertatzen ditu 2026ko aurrekontuan, gaur egun gauzatzen ari diren edo </w:t>
      </w:r>
      <w:proofErr w:type="spellStart"/>
      <w:r w:rsidRPr="00040FE7">
        <w:rPr>
          <w:rFonts w:ascii="Arial" w:hAnsi="Arial" w:cs="Arial"/>
          <w:sz w:val="22"/>
          <w:szCs w:val="22"/>
          <w:lang w:val="eu-ES"/>
        </w:rPr>
        <w:t>administratiboki</w:t>
      </w:r>
      <w:proofErr w:type="spellEnd"/>
      <w:r w:rsidRPr="00040FE7">
        <w:rPr>
          <w:rFonts w:ascii="Arial" w:hAnsi="Arial" w:cs="Arial"/>
          <w:sz w:val="22"/>
          <w:szCs w:val="22"/>
          <w:lang w:val="eu-ES"/>
        </w:rPr>
        <w:t xml:space="preserve"> konprometituta dauden proiektu eta jarduketekin jarraitzeko. </w:t>
      </w:r>
    </w:p>
    <w:p w14:paraId="5C0DB771" w14:textId="51ED8C45" w:rsidR="00E85DB9" w:rsidRPr="00113D15" w:rsidRDefault="00E85DB9" w:rsidP="00E85DB9">
      <w:pPr>
        <w:jc w:val="both"/>
        <w:rPr>
          <w:rFonts w:ascii="Arial" w:hAnsi="Arial" w:cs="Arial"/>
          <w:b/>
          <w:bCs/>
          <w:sz w:val="22"/>
          <w:szCs w:val="22"/>
          <w:lang w:val="eu-ES"/>
        </w:rPr>
      </w:pPr>
      <w:r w:rsidRPr="00113D15">
        <w:rPr>
          <w:rFonts w:ascii="Arial" w:hAnsi="Arial" w:cs="Arial"/>
          <w:b/>
          <w:bCs/>
          <w:sz w:val="22"/>
          <w:szCs w:val="22"/>
          <w:lang w:val="eu-ES"/>
        </w:rPr>
        <w:t>Superabita, likidezia eta zorraren murrizketa</w:t>
      </w:r>
    </w:p>
    <w:p w14:paraId="1543428B"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lastRenderedPageBreak/>
        <w:t>2025eko ekitaldiari dagokion aurrekontu-likidazioak 2,7 milioi euroko superabita du, dagoeneko hasita dauden jarduketa eta proiektuekin jarraitzeko beharrezkoak diren kreditu-txertaketak finantzatu ondoren.</w:t>
      </w:r>
    </w:p>
    <w:p w14:paraId="505C95D4"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Udalak, gainera, 54 milioi eurotik gorako funts likidoekin eta 37,1 milioi euroko aurrezki arruntarekin itxi zuen ekitaldia.</w:t>
      </w:r>
    </w:p>
    <w:p w14:paraId="0AECBCDC"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Udalaren finantza-zorra 6,8 milioi euro murriztu zen aurreko ekitaldiaren aldean, eta 2025aren itxieran 104,6 milioi eurokoa izan zen. Zorpetze-maila diru-sarrera arrunten % 28,13 da, toki-administrazioentzat erreferentziatzat jotzen den % 70eko mugaren oso azpitik.</w:t>
      </w:r>
    </w:p>
    <w:p w14:paraId="37160B68"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Gainera, Udalak ez zuen formalizatu behar izan hasiera batean 2025eko ekitaldia finantzatzeko aurreikusitako zorpetze berria.</w:t>
      </w:r>
    </w:p>
    <w:p w14:paraId="05EB1F64"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Udal sektore publikoaren epe luzeko zorra 167,8 milioi eurokoa da, Udala, Etxegintza, </w:t>
      </w:r>
      <w:proofErr w:type="spellStart"/>
      <w:r w:rsidRPr="00E85DB9">
        <w:rPr>
          <w:rFonts w:ascii="Arial" w:hAnsi="Arial" w:cs="Arial"/>
          <w:sz w:val="22"/>
          <w:szCs w:val="22"/>
          <w:lang w:val="eu-ES"/>
        </w:rPr>
        <w:t>Dbus</w:t>
      </w:r>
      <w:proofErr w:type="spellEnd"/>
      <w:r w:rsidRPr="00E85DB9">
        <w:rPr>
          <w:rFonts w:ascii="Arial" w:hAnsi="Arial" w:cs="Arial"/>
          <w:sz w:val="22"/>
          <w:szCs w:val="22"/>
          <w:lang w:val="eu-ES"/>
        </w:rPr>
        <w:t xml:space="preserve"> eta Donostiako Sustapena barne. </w:t>
      </w:r>
      <w:r w:rsidRPr="00E85DB9">
        <w:rPr>
          <w:rFonts w:ascii="Arial" w:hAnsi="Arial" w:cs="Arial"/>
          <w:sz w:val="22"/>
          <w:szCs w:val="22"/>
          <w:lang w:val="eu-ES"/>
        </w:rPr>
        <w:t xml:space="preserve"> </w:t>
      </w:r>
    </w:p>
    <w:p w14:paraId="0EB95081" w14:textId="281FF98D" w:rsidR="00E85DB9" w:rsidRPr="00897915" w:rsidRDefault="00E85DB9" w:rsidP="00E85DB9">
      <w:pPr>
        <w:jc w:val="both"/>
        <w:rPr>
          <w:rFonts w:ascii="Arial" w:hAnsi="Arial" w:cs="Arial"/>
          <w:b/>
          <w:bCs/>
          <w:sz w:val="22"/>
          <w:szCs w:val="22"/>
          <w:lang w:val="eu-ES"/>
        </w:rPr>
      </w:pPr>
      <w:r w:rsidRPr="00897915">
        <w:rPr>
          <w:rFonts w:ascii="Arial" w:hAnsi="Arial" w:cs="Arial"/>
          <w:b/>
          <w:bCs/>
          <w:sz w:val="22"/>
          <w:szCs w:val="22"/>
          <w:lang w:val="eu-ES"/>
        </w:rPr>
        <w:t>Diru-sarreren eta jarduera ekonomikoaren bilakaera positiboa</w:t>
      </w:r>
    </w:p>
    <w:p w14:paraId="76521EEE"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Diru-sarrera arrunten bilakaera hasieran aurreikusitakoa baino handiagoa izan zen zergen eta udal-finantzaketaren kontzeptu nagusietako batzuetan.</w:t>
      </w:r>
    </w:p>
    <w:p w14:paraId="477987E6"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Udal Finantzaketarako Foru Funtsak hasieran aurreikusitakoa baino 5,5 milioi euro gehiago jarri zituen azkenean. Era berean, Hiri Lurren Balio Gehikuntzaren gaineko Zergak 4,37 milioi euro gehiagoko likidazioa erregistratu zuen, eta </w:t>
      </w:r>
      <w:proofErr w:type="spellStart"/>
      <w:r w:rsidRPr="00E85DB9">
        <w:rPr>
          <w:rFonts w:ascii="Arial" w:hAnsi="Arial" w:cs="Arial"/>
          <w:sz w:val="22"/>
          <w:szCs w:val="22"/>
          <w:lang w:val="eu-ES"/>
        </w:rPr>
        <w:t>EIOZk</w:t>
      </w:r>
      <w:proofErr w:type="spellEnd"/>
      <w:r w:rsidRPr="00E85DB9">
        <w:rPr>
          <w:rFonts w:ascii="Arial" w:hAnsi="Arial" w:cs="Arial"/>
          <w:sz w:val="22"/>
          <w:szCs w:val="22"/>
          <w:lang w:val="eu-ES"/>
        </w:rPr>
        <w:t xml:space="preserve"> 3,4 milioi gehiago sartu zituen hasierako aurreikuspenekin alderatuta.</w:t>
      </w:r>
    </w:p>
    <w:p w14:paraId="1C5F4AB7" w14:textId="27872D5C"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Kapital-sarrerei dagokienez, Illunbe, </w:t>
      </w:r>
      <w:r w:rsidR="00040FE7">
        <w:rPr>
          <w:rFonts w:ascii="Arial" w:hAnsi="Arial" w:cs="Arial"/>
          <w:sz w:val="22"/>
          <w:szCs w:val="22"/>
          <w:lang w:val="eu-ES"/>
        </w:rPr>
        <w:t>Lorategi Hiria</w:t>
      </w:r>
      <w:r w:rsidRPr="00E85DB9">
        <w:rPr>
          <w:rFonts w:ascii="Arial" w:hAnsi="Arial" w:cs="Arial"/>
          <w:sz w:val="22"/>
          <w:szCs w:val="22"/>
          <w:lang w:val="eu-ES"/>
        </w:rPr>
        <w:t xml:space="preserve">, % 15eko </w:t>
      </w:r>
      <w:proofErr w:type="spellStart"/>
      <w:r w:rsidRPr="00E85DB9">
        <w:rPr>
          <w:rFonts w:ascii="Arial" w:hAnsi="Arial" w:cs="Arial"/>
          <w:sz w:val="22"/>
          <w:szCs w:val="22"/>
          <w:lang w:val="eu-ES"/>
        </w:rPr>
        <w:t>monetarizazioa</w:t>
      </w:r>
      <w:proofErr w:type="spellEnd"/>
      <w:r w:rsidRPr="00E85DB9">
        <w:rPr>
          <w:rFonts w:ascii="Arial" w:hAnsi="Arial" w:cs="Arial"/>
          <w:sz w:val="22"/>
          <w:szCs w:val="22"/>
          <w:lang w:val="eu-ES"/>
        </w:rPr>
        <w:t>, Añorgako Geltokia edo Bretxari lotutako eragiketak nabarmentzen dira.</w:t>
      </w:r>
    </w:p>
    <w:p w14:paraId="0EC1FEE3" w14:textId="77777777" w:rsidR="00E85DB9" w:rsidRPr="00897915" w:rsidRDefault="00E85DB9" w:rsidP="00E85DB9">
      <w:pPr>
        <w:jc w:val="both"/>
        <w:rPr>
          <w:rFonts w:ascii="Arial" w:hAnsi="Arial" w:cs="Arial"/>
          <w:b/>
          <w:bCs/>
          <w:sz w:val="22"/>
          <w:szCs w:val="22"/>
          <w:lang w:val="eu-ES"/>
        </w:rPr>
      </w:pPr>
      <w:r w:rsidRPr="00897915">
        <w:rPr>
          <w:rFonts w:ascii="Arial" w:hAnsi="Arial" w:cs="Arial"/>
          <w:b/>
          <w:bCs/>
          <w:sz w:val="22"/>
          <w:szCs w:val="22"/>
          <w:lang w:val="eu-ES"/>
        </w:rPr>
        <w:t>2.760 langile baino gehiago zerbitzu publiko hobea lortzeko</w:t>
      </w:r>
    </w:p>
    <w:p w14:paraId="435C0AFA"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Kontu Orokorrak, halaber, udal-sektore publiko osoaren dimentsioa islatzen du, Udalaren, erakunde autonomoen, enpresa-erakunde publikoen eta udal-sozietate publikoen arteko 2.760 langilek osatzen dutena.</w:t>
      </w:r>
    </w:p>
    <w:p w14:paraId="3D1E01B8"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 xml:space="preserve">Horrek guztiak, gainera, zerbitzu hobea ematen die donostiarrei. Mugikortasunaren arloan, adibidez, </w:t>
      </w:r>
      <w:proofErr w:type="spellStart"/>
      <w:r w:rsidRPr="00E85DB9">
        <w:rPr>
          <w:rFonts w:ascii="Arial" w:hAnsi="Arial" w:cs="Arial"/>
          <w:sz w:val="22"/>
          <w:szCs w:val="22"/>
          <w:lang w:val="eu-ES"/>
        </w:rPr>
        <w:t>Dbusek</w:t>
      </w:r>
      <w:proofErr w:type="spellEnd"/>
      <w:r w:rsidRPr="00E85DB9">
        <w:rPr>
          <w:rFonts w:ascii="Arial" w:hAnsi="Arial" w:cs="Arial"/>
          <w:sz w:val="22"/>
          <w:szCs w:val="22"/>
          <w:lang w:val="eu-ES"/>
        </w:rPr>
        <w:t xml:space="preserve"> 33,7 milioi bidaia baino gehiago izan zituen 2025ean, aurreko urtean baino % 5,3 gehiago. Udal konpainiak 144 autobus ditu gaur egun, tartean 48 ibilgailu elektriko eta 54 hibrido.</w:t>
      </w:r>
    </w:p>
    <w:p w14:paraId="4334D512"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Bestalde, Udalaren Musika eta Dantza Eskolak 3.908 matrikula lortu zituen 2025/2026 ikasturtean, eta Donostia Kulturak ekitaldia itxi zuen 241 langileko plantillarekin eta hornitzaileei ordaintzeko 22 eguneko batez besteko epearekin.</w:t>
      </w:r>
    </w:p>
    <w:p w14:paraId="5CDEFC96" w14:textId="77777777" w:rsidR="00E85DB9" w:rsidRPr="00897915" w:rsidRDefault="00E85DB9" w:rsidP="00E85DB9">
      <w:pPr>
        <w:jc w:val="both"/>
        <w:rPr>
          <w:rFonts w:ascii="Arial" w:hAnsi="Arial" w:cs="Arial"/>
          <w:b/>
          <w:bCs/>
          <w:sz w:val="22"/>
          <w:szCs w:val="22"/>
          <w:lang w:val="eu-ES"/>
        </w:rPr>
      </w:pPr>
      <w:r w:rsidRPr="00897915">
        <w:rPr>
          <w:rFonts w:ascii="Arial" w:hAnsi="Arial" w:cs="Arial"/>
          <w:b/>
          <w:bCs/>
          <w:sz w:val="22"/>
          <w:szCs w:val="22"/>
          <w:lang w:val="eu-ES"/>
        </w:rPr>
        <w:t>Zerbitzu publikoen kostua eta errendimendua</w:t>
      </w:r>
    </w:p>
    <w:p w14:paraId="718CF9A7"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Kontu Orokorrak hainbat udal-zerbitzu publikoren kostuari eta errendimenduari buruzko justifikazio-memoriak ditu.</w:t>
      </w:r>
    </w:p>
    <w:p w14:paraId="485282D7"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lastRenderedPageBreak/>
        <w:t>Hondakinak biltzeko zerbitzuan, 2024an 4,8 milioi euroko defizita izatetik 150.235 eurokoa izatera igaro zen 2025ean, ekonomia zirkular baterako hondakinei eta lurzoru kutsatuei buruzko 7/2022 Legea aplikatzearen ondoriozko tasa eguneratu ondoren.</w:t>
      </w:r>
    </w:p>
    <w:p w14:paraId="20723FA9"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Urari eta saneamenduari dagokienez, zerbitzu osoaren defizita 1,6 milioi euro baino gehiago murriztu zen aurreko ekitaldiarekin alderatuta, eta, gainera, inguruko beste udalerri eta partzuergoekiko lehia-tarifak mantendu ziren.</w:t>
      </w:r>
    </w:p>
    <w:p w14:paraId="5A00E9CB"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Gainazalean aparkatzeko zerbitzu arautuak, bestalde, 1,15 milioi euroko etekin positiboa lortu zuen 2025ean.</w:t>
      </w:r>
    </w:p>
    <w:p w14:paraId="701601CF" w14:textId="77777777" w:rsidR="00E85DB9" w:rsidRPr="00E85DB9" w:rsidRDefault="00E85DB9" w:rsidP="00E85DB9">
      <w:pPr>
        <w:jc w:val="both"/>
        <w:rPr>
          <w:rFonts w:ascii="Arial" w:hAnsi="Arial" w:cs="Arial"/>
          <w:sz w:val="22"/>
          <w:szCs w:val="22"/>
          <w:lang w:val="eu-ES"/>
        </w:rPr>
      </w:pPr>
      <w:r w:rsidRPr="00E85DB9">
        <w:rPr>
          <w:rFonts w:ascii="Arial" w:hAnsi="Arial" w:cs="Arial"/>
          <w:sz w:val="22"/>
          <w:szCs w:val="22"/>
          <w:lang w:val="eu-ES"/>
        </w:rPr>
        <w:t>Hornitzaileei ordaintzeari dagokionez, administrazio-taldearen batez besteko ordainketa-epea 23,51 egunekoa izan zen, legez ezarritako mugaren azpitik.</w:t>
      </w:r>
    </w:p>
    <w:p w14:paraId="6393A677" w14:textId="17506613" w:rsidR="00E85DB9" w:rsidRDefault="00E85DB9" w:rsidP="00E85DB9">
      <w:pPr>
        <w:jc w:val="both"/>
        <w:rPr>
          <w:rFonts w:ascii="Arial" w:hAnsi="Arial" w:cs="Arial"/>
          <w:sz w:val="22"/>
          <w:szCs w:val="22"/>
          <w:lang w:val="eu-ES"/>
        </w:rPr>
      </w:pPr>
      <w:r w:rsidRPr="00E85DB9">
        <w:rPr>
          <w:rFonts w:ascii="Arial" w:hAnsi="Arial" w:cs="Arial"/>
          <w:sz w:val="22"/>
          <w:szCs w:val="22"/>
          <w:lang w:val="eu-ES"/>
        </w:rPr>
        <w:t>Orbegozok nabarmendu duenez, "Kontu Orokorrak Udalak eta udal sektore publikoak garatzen duten jarduera publikoaren bolumen handia egiaztatzeko aukera ematen du, baita hiriarentzat estrategikoak diren inbertsioak, zerbitzuak eta proiektuak bultzatzen jarraitzeko dagoen finantza-gaitasuna egiaztatzeko ere".</w:t>
      </w:r>
    </w:p>
    <w:p w14:paraId="7086A3D9" w14:textId="77777777" w:rsidR="00897915" w:rsidRDefault="00897915" w:rsidP="00E85DB9">
      <w:pPr>
        <w:jc w:val="both"/>
        <w:rPr>
          <w:rFonts w:ascii="Arial" w:hAnsi="Arial" w:cs="Arial"/>
          <w:sz w:val="22"/>
          <w:szCs w:val="22"/>
          <w:lang w:val="eu-ES"/>
        </w:rPr>
      </w:pPr>
    </w:p>
    <w:p w14:paraId="182A9517" w14:textId="752D2167" w:rsidR="00897915" w:rsidRPr="00E85DB9" w:rsidRDefault="00897915" w:rsidP="00897915">
      <w:pPr>
        <w:jc w:val="right"/>
        <w:rPr>
          <w:rFonts w:ascii="Arial" w:hAnsi="Arial" w:cs="Arial"/>
          <w:sz w:val="22"/>
          <w:szCs w:val="22"/>
          <w:lang w:val="eu-ES"/>
        </w:rPr>
      </w:pPr>
      <w:r>
        <w:rPr>
          <w:rFonts w:ascii="Arial" w:hAnsi="Arial" w:cs="Arial"/>
          <w:sz w:val="22"/>
          <w:szCs w:val="22"/>
          <w:lang w:val="eu-ES"/>
        </w:rPr>
        <w:t>Donostia, 2026ko maiatzaren 15a</w:t>
      </w:r>
    </w:p>
    <w:p w14:paraId="7F294BBD" w14:textId="0DBE962B" w:rsidR="00E85DB9" w:rsidRPr="00E85DB9" w:rsidRDefault="00E85DB9" w:rsidP="00E85DB9">
      <w:pPr>
        <w:jc w:val="both"/>
        <w:rPr>
          <w:rFonts w:ascii="Arial" w:eastAsia="Times New Roman" w:hAnsi="Arial" w:cs="Arial"/>
          <w:b/>
          <w:bCs/>
          <w:kern w:val="0"/>
          <w:sz w:val="28"/>
          <w:szCs w:val="28"/>
          <w:lang w:val="es-ES_tradnl" w:eastAsia="eu-ES"/>
          <w14:ligatures w14:val="none"/>
        </w:rPr>
      </w:pPr>
      <w:r w:rsidRPr="00E85DB9">
        <w:rPr>
          <w:rFonts w:ascii="Arial" w:hAnsi="Arial" w:cs="Arial"/>
          <w:b/>
          <w:bCs/>
          <w:sz w:val="28"/>
          <w:szCs w:val="28"/>
          <w:lang w:val="es-ES_tradnl"/>
        </w:rPr>
        <w:br w:type="page"/>
      </w:r>
    </w:p>
    <w:p w14:paraId="66785537" w14:textId="6C97306A" w:rsidR="00B7649C" w:rsidRPr="00B6437F" w:rsidRDefault="00B6437F" w:rsidP="008A20A8">
      <w:pPr>
        <w:pStyle w:val="NormalWeb"/>
        <w:spacing w:line="276" w:lineRule="auto"/>
        <w:jc w:val="center"/>
        <w:rPr>
          <w:rFonts w:ascii="Arial" w:hAnsi="Arial" w:cs="Arial"/>
          <w:b/>
          <w:bCs/>
          <w:sz w:val="28"/>
          <w:szCs w:val="28"/>
        </w:rPr>
      </w:pPr>
      <w:r w:rsidRPr="00B6437F">
        <w:rPr>
          <w:rFonts w:ascii="Arial" w:hAnsi="Arial" w:cs="Arial"/>
          <w:b/>
          <w:bCs/>
          <w:sz w:val="28"/>
          <w:szCs w:val="28"/>
        </w:rPr>
        <w:lastRenderedPageBreak/>
        <w:t>El Ayuntamiento</w:t>
      </w:r>
      <w:r w:rsidR="00B7649C" w:rsidRPr="00B6437F">
        <w:rPr>
          <w:rFonts w:ascii="Arial" w:hAnsi="Arial" w:cs="Arial"/>
          <w:b/>
          <w:bCs/>
          <w:sz w:val="28"/>
          <w:szCs w:val="28"/>
        </w:rPr>
        <w:t xml:space="preserve"> </w:t>
      </w:r>
      <w:r w:rsidR="00057BF8">
        <w:rPr>
          <w:rFonts w:ascii="Arial" w:hAnsi="Arial" w:cs="Arial"/>
          <w:b/>
          <w:bCs/>
          <w:sz w:val="28"/>
          <w:szCs w:val="28"/>
        </w:rPr>
        <w:t xml:space="preserve">mantiene su estabilidad financiera y encara el futuro con capacidad de desarrollar proyectos </w:t>
      </w:r>
      <w:r w:rsidR="008A20A8">
        <w:rPr>
          <w:rFonts w:ascii="Arial" w:hAnsi="Arial" w:cs="Arial"/>
          <w:b/>
          <w:bCs/>
          <w:sz w:val="28"/>
          <w:szCs w:val="28"/>
        </w:rPr>
        <w:t>estratégicos</w:t>
      </w:r>
    </w:p>
    <w:p w14:paraId="251DC9A5" w14:textId="23C24958" w:rsidR="00057BF8" w:rsidRPr="00E83F0A" w:rsidRDefault="008B5A57" w:rsidP="00057BF8">
      <w:pPr>
        <w:pStyle w:val="NormalWeb"/>
        <w:spacing w:line="276" w:lineRule="auto"/>
        <w:jc w:val="center"/>
        <w:rPr>
          <w:rFonts w:ascii="Arial" w:hAnsi="Arial" w:cs="Arial"/>
          <w:i/>
          <w:iCs/>
          <w:sz w:val="22"/>
          <w:szCs w:val="22"/>
        </w:rPr>
      </w:pPr>
      <w:r>
        <w:rPr>
          <w:rFonts w:ascii="Arial" w:hAnsi="Arial" w:cs="Arial"/>
          <w:i/>
          <w:iCs/>
          <w:sz w:val="22"/>
          <w:szCs w:val="22"/>
        </w:rPr>
        <w:t>El consistorio</w:t>
      </w:r>
      <w:r w:rsidR="00057BF8">
        <w:rPr>
          <w:rFonts w:ascii="Arial" w:hAnsi="Arial" w:cs="Arial"/>
          <w:i/>
          <w:iCs/>
          <w:sz w:val="22"/>
          <w:szCs w:val="22"/>
        </w:rPr>
        <w:t xml:space="preserve"> ha dado comienzo a la tramitación de la Cuenta General de 2025</w:t>
      </w:r>
    </w:p>
    <w:p w14:paraId="3F1B2911" w14:textId="2036C276" w:rsidR="00FB4832" w:rsidRDefault="00E83F0A" w:rsidP="00FB4832">
      <w:pPr>
        <w:pStyle w:val="NormalWeb"/>
        <w:spacing w:line="276" w:lineRule="auto"/>
        <w:jc w:val="both"/>
        <w:rPr>
          <w:rFonts w:ascii="Arial" w:hAnsi="Arial" w:cs="Arial"/>
          <w:sz w:val="22"/>
          <w:szCs w:val="22"/>
        </w:rPr>
      </w:pPr>
      <w:r>
        <w:rPr>
          <w:rFonts w:ascii="Arial" w:hAnsi="Arial" w:cs="Arial"/>
          <w:sz w:val="22"/>
          <w:szCs w:val="22"/>
        </w:rPr>
        <w:t>El</w:t>
      </w:r>
      <w:r w:rsidR="00B7649C" w:rsidRPr="00B6437F">
        <w:rPr>
          <w:rFonts w:ascii="Arial" w:hAnsi="Arial" w:cs="Arial"/>
          <w:sz w:val="22"/>
          <w:szCs w:val="22"/>
        </w:rPr>
        <w:t xml:space="preserve"> Ayuntamiento de Donostia / San Sebastián </w:t>
      </w:r>
      <w:r>
        <w:rPr>
          <w:rFonts w:ascii="Arial" w:hAnsi="Arial" w:cs="Arial"/>
          <w:sz w:val="22"/>
          <w:szCs w:val="22"/>
        </w:rPr>
        <w:t>ha puesto en marcha esta misma semana la</w:t>
      </w:r>
      <w:r w:rsidRPr="00E83F0A">
        <w:rPr>
          <w:rFonts w:ascii="Arial" w:hAnsi="Arial" w:cs="Arial"/>
          <w:sz w:val="22"/>
          <w:szCs w:val="22"/>
        </w:rPr>
        <w:t xml:space="preserve"> </w:t>
      </w:r>
      <w:r w:rsidRPr="00B6437F">
        <w:rPr>
          <w:rFonts w:ascii="Arial" w:hAnsi="Arial" w:cs="Arial"/>
          <w:sz w:val="22"/>
          <w:szCs w:val="22"/>
        </w:rPr>
        <w:t>tramitación para la aprobación de la Cuenta General correspondiente al ejercicio 2025.</w:t>
      </w:r>
      <w:r w:rsidR="004D23AA">
        <w:rPr>
          <w:rFonts w:ascii="Arial" w:hAnsi="Arial" w:cs="Arial"/>
          <w:sz w:val="22"/>
          <w:szCs w:val="22"/>
        </w:rPr>
        <w:t xml:space="preserve"> </w:t>
      </w:r>
      <w:r>
        <w:rPr>
          <w:rFonts w:ascii="Arial" w:hAnsi="Arial" w:cs="Arial"/>
          <w:sz w:val="22"/>
          <w:szCs w:val="22"/>
        </w:rPr>
        <w:t>Este documento</w:t>
      </w:r>
      <w:r w:rsidRPr="00B6437F">
        <w:rPr>
          <w:rFonts w:ascii="Arial" w:hAnsi="Arial" w:cs="Arial"/>
          <w:sz w:val="22"/>
          <w:szCs w:val="22"/>
        </w:rPr>
        <w:t xml:space="preserve"> recoge el conjunto de operaciones presupuestarias, extrapresupuestarias, patrimoniales y de tesorería realizadas durante el ejercicio por el Ayuntamiento y el resto de </w:t>
      </w:r>
      <w:r w:rsidR="008822B6" w:rsidRPr="00B6437F">
        <w:rPr>
          <w:rFonts w:ascii="Arial" w:hAnsi="Arial" w:cs="Arial"/>
          <w:sz w:val="22"/>
          <w:szCs w:val="22"/>
        </w:rPr>
        <w:t>las entidades</w:t>
      </w:r>
      <w:r w:rsidRPr="00B6437F">
        <w:rPr>
          <w:rFonts w:ascii="Arial" w:hAnsi="Arial" w:cs="Arial"/>
          <w:sz w:val="22"/>
          <w:szCs w:val="22"/>
        </w:rPr>
        <w:t xml:space="preserve"> que integran el sector público municipal</w:t>
      </w:r>
      <w:r w:rsidR="00FB4832">
        <w:rPr>
          <w:rFonts w:ascii="Arial" w:hAnsi="Arial" w:cs="Arial"/>
          <w:sz w:val="22"/>
          <w:szCs w:val="22"/>
        </w:rPr>
        <w:t>.</w:t>
      </w:r>
    </w:p>
    <w:p w14:paraId="451ACF4D" w14:textId="10F26BB8" w:rsidR="00FB4832" w:rsidRPr="00B6437F" w:rsidRDefault="00FB4832" w:rsidP="00FB4832">
      <w:pPr>
        <w:pStyle w:val="NormalWeb"/>
        <w:spacing w:line="276" w:lineRule="auto"/>
        <w:jc w:val="both"/>
        <w:rPr>
          <w:rFonts w:ascii="Arial" w:hAnsi="Arial" w:cs="Arial"/>
          <w:sz w:val="22"/>
          <w:szCs w:val="22"/>
        </w:rPr>
      </w:pPr>
      <w:r w:rsidRPr="00B6437F">
        <w:rPr>
          <w:rFonts w:ascii="Arial" w:hAnsi="Arial" w:cs="Arial"/>
          <w:sz w:val="22"/>
          <w:szCs w:val="22"/>
        </w:rPr>
        <w:t>El concejal de Hacienda y Finanzas, Kerman Orbegozo, ha señalado que “la Cuenta General de 2025 muestra una administración municipal con una intensa actividad económica e inversora, que mantiene estabilidad financiera y capacidad suficiente para seguir desarrollando proyectos estratégicos y servicios públicos de calidad”.</w:t>
      </w:r>
    </w:p>
    <w:p w14:paraId="2A8AD055" w14:textId="61A4A578" w:rsidR="00B7649C" w:rsidRPr="00B6437F" w:rsidRDefault="00E83F0A" w:rsidP="00E83F0A">
      <w:pPr>
        <w:pStyle w:val="NormalWeb"/>
        <w:spacing w:line="276" w:lineRule="auto"/>
        <w:jc w:val="both"/>
        <w:rPr>
          <w:rFonts w:ascii="Arial" w:hAnsi="Arial" w:cs="Arial"/>
          <w:sz w:val="22"/>
          <w:szCs w:val="22"/>
        </w:rPr>
      </w:pPr>
      <w:r>
        <w:rPr>
          <w:rFonts w:ascii="Arial" w:hAnsi="Arial" w:cs="Arial"/>
          <w:sz w:val="22"/>
          <w:szCs w:val="22"/>
        </w:rPr>
        <w:t>Tras haberl</w:t>
      </w:r>
      <w:r w:rsidR="00352E7A">
        <w:rPr>
          <w:rFonts w:ascii="Arial" w:hAnsi="Arial" w:cs="Arial"/>
          <w:sz w:val="22"/>
          <w:szCs w:val="22"/>
        </w:rPr>
        <w:t>a</w:t>
      </w:r>
      <w:r>
        <w:rPr>
          <w:rFonts w:ascii="Arial" w:hAnsi="Arial" w:cs="Arial"/>
          <w:sz w:val="22"/>
          <w:szCs w:val="22"/>
        </w:rPr>
        <w:t xml:space="preserve"> dado a conocer en la última Junta de Gobierno Local</w:t>
      </w:r>
      <w:r w:rsidR="008B5A57">
        <w:rPr>
          <w:rFonts w:ascii="Arial" w:hAnsi="Arial" w:cs="Arial"/>
          <w:sz w:val="22"/>
          <w:szCs w:val="22"/>
        </w:rPr>
        <w:t xml:space="preserve"> y haber sido remitida a la</w:t>
      </w:r>
      <w:r w:rsidR="00B7649C" w:rsidRPr="00B6437F">
        <w:rPr>
          <w:rFonts w:ascii="Arial" w:hAnsi="Arial" w:cs="Arial"/>
          <w:sz w:val="22"/>
          <w:szCs w:val="22"/>
        </w:rPr>
        <w:t xml:space="preserve"> Comisión Especial de Cuentas,</w:t>
      </w:r>
      <w:r w:rsidR="008B5A57">
        <w:rPr>
          <w:rFonts w:ascii="Arial" w:hAnsi="Arial" w:cs="Arial"/>
          <w:sz w:val="22"/>
          <w:szCs w:val="22"/>
        </w:rPr>
        <w:t xml:space="preserve"> será</w:t>
      </w:r>
      <w:r w:rsidR="00B7649C" w:rsidRPr="00B6437F">
        <w:rPr>
          <w:rFonts w:ascii="Arial" w:hAnsi="Arial" w:cs="Arial"/>
          <w:sz w:val="22"/>
          <w:szCs w:val="22"/>
        </w:rPr>
        <w:t xml:space="preserve"> sometida a exposición pública durante 15 días y elevada finalmente al Pleno municipal para su aprobación definitiva antes de su remisión al Tribunal Vasco de Cuentas Públicas.</w:t>
      </w:r>
    </w:p>
    <w:p w14:paraId="2A670A8C" w14:textId="1304164E" w:rsidR="00B7649C" w:rsidRPr="00B6437F" w:rsidRDefault="00352E7A" w:rsidP="00E83F0A">
      <w:pPr>
        <w:pStyle w:val="NormalWeb"/>
        <w:spacing w:line="276" w:lineRule="auto"/>
        <w:jc w:val="both"/>
        <w:rPr>
          <w:rFonts w:ascii="Arial" w:hAnsi="Arial" w:cs="Arial"/>
          <w:sz w:val="22"/>
          <w:szCs w:val="22"/>
        </w:rPr>
      </w:pPr>
      <w:r>
        <w:rPr>
          <w:rFonts w:ascii="Arial" w:hAnsi="Arial" w:cs="Arial"/>
          <w:sz w:val="22"/>
          <w:szCs w:val="22"/>
        </w:rPr>
        <w:t>El documento</w:t>
      </w:r>
      <w:r w:rsidR="00B7649C" w:rsidRPr="00B6437F">
        <w:rPr>
          <w:rFonts w:ascii="Arial" w:hAnsi="Arial" w:cs="Arial"/>
          <w:sz w:val="22"/>
          <w:szCs w:val="22"/>
        </w:rPr>
        <w:t xml:space="preserve"> integra las cuentas del Ayuntamiento, organismos autónomos, entidades públicas empresariales, sociedades públicas municipales y resto de entidades participadas. Entre ellas figuran Donostia Kirola, </w:t>
      </w:r>
      <w:proofErr w:type="spellStart"/>
      <w:r w:rsidR="00B7649C" w:rsidRPr="00B6437F">
        <w:rPr>
          <w:rFonts w:ascii="Arial" w:hAnsi="Arial" w:cs="Arial"/>
          <w:sz w:val="22"/>
          <w:szCs w:val="22"/>
        </w:rPr>
        <w:t>DonostiaTik</w:t>
      </w:r>
      <w:proofErr w:type="spellEnd"/>
      <w:r w:rsidR="00B7649C" w:rsidRPr="00B6437F">
        <w:rPr>
          <w:rFonts w:ascii="Arial" w:hAnsi="Arial" w:cs="Arial"/>
          <w:sz w:val="22"/>
          <w:szCs w:val="22"/>
        </w:rPr>
        <w:t xml:space="preserve">, Escuela Municipal de Música y Danza, Donostia </w:t>
      </w:r>
      <w:proofErr w:type="spellStart"/>
      <w:r w:rsidR="00B7649C" w:rsidRPr="00B6437F">
        <w:rPr>
          <w:rFonts w:ascii="Arial" w:hAnsi="Arial" w:cs="Arial"/>
          <w:sz w:val="22"/>
          <w:szCs w:val="22"/>
        </w:rPr>
        <w:t>Kultura</w:t>
      </w:r>
      <w:proofErr w:type="spellEnd"/>
      <w:r w:rsidR="00B7649C" w:rsidRPr="00B6437F">
        <w:rPr>
          <w:rFonts w:ascii="Arial" w:hAnsi="Arial" w:cs="Arial"/>
          <w:sz w:val="22"/>
          <w:szCs w:val="22"/>
        </w:rPr>
        <w:t xml:space="preserve">, </w:t>
      </w:r>
      <w:proofErr w:type="spellStart"/>
      <w:r w:rsidR="00B7649C" w:rsidRPr="00B6437F">
        <w:rPr>
          <w:rFonts w:ascii="Arial" w:hAnsi="Arial" w:cs="Arial"/>
          <w:sz w:val="22"/>
          <w:szCs w:val="22"/>
        </w:rPr>
        <w:t>Etxegintza</w:t>
      </w:r>
      <w:proofErr w:type="spellEnd"/>
      <w:r w:rsidR="00B7649C" w:rsidRPr="00B6437F">
        <w:rPr>
          <w:rFonts w:ascii="Arial" w:hAnsi="Arial" w:cs="Arial"/>
          <w:sz w:val="22"/>
          <w:szCs w:val="22"/>
        </w:rPr>
        <w:t xml:space="preserve">, </w:t>
      </w:r>
      <w:proofErr w:type="spellStart"/>
      <w:r w:rsidR="00B7649C" w:rsidRPr="00B6437F">
        <w:rPr>
          <w:rFonts w:ascii="Arial" w:hAnsi="Arial" w:cs="Arial"/>
          <w:sz w:val="22"/>
          <w:szCs w:val="22"/>
        </w:rPr>
        <w:t>Dbus</w:t>
      </w:r>
      <w:proofErr w:type="spellEnd"/>
      <w:r w:rsidR="00B7649C" w:rsidRPr="00B6437F">
        <w:rPr>
          <w:rFonts w:ascii="Arial" w:hAnsi="Arial" w:cs="Arial"/>
          <w:sz w:val="22"/>
          <w:szCs w:val="22"/>
        </w:rPr>
        <w:t xml:space="preserve">, Donostia Turismo, Fomento de San Sebastián o Anoeta </w:t>
      </w:r>
      <w:proofErr w:type="spellStart"/>
      <w:r w:rsidR="00B7649C" w:rsidRPr="00B6437F">
        <w:rPr>
          <w:rFonts w:ascii="Arial" w:hAnsi="Arial" w:cs="Arial"/>
          <w:sz w:val="22"/>
          <w:szCs w:val="22"/>
        </w:rPr>
        <w:t>Kiroldegia</w:t>
      </w:r>
      <w:proofErr w:type="spellEnd"/>
      <w:r w:rsidR="00B7649C" w:rsidRPr="00B6437F">
        <w:rPr>
          <w:rFonts w:ascii="Arial" w:hAnsi="Arial" w:cs="Arial"/>
          <w:sz w:val="22"/>
          <w:szCs w:val="22"/>
        </w:rPr>
        <w:t>.</w:t>
      </w:r>
    </w:p>
    <w:p w14:paraId="4C444474" w14:textId="69BE5F5A" w:rsidR="00B7649C" w:rsidRPr="00E83F0A" w:rsidRDefault="00B7649C" w:rsidP="00E83F0A">
      <w:pPr>
        <w:pStyle w:val="NormalWeb"/>
        <w:spacing w:line="276" w:lineRule="auto"/>
        <w:jc w:val="both"/>
        <w:rPr>
          <w:rFonts w:ascii="Arial" w:hAnsi="Arial" w:cs="Arial"/>
          <w:b/>
          <w:bCs/>
          <w:sz w:val="22"/>
          <w:szCs w:val="22"/>
        </w:rPr>
      </w:pPr>
      <w:r w:rsidRPr="00E83F0A">
        <w:rPr>
          <w:rFonts w:ascii="Arial" w:hAnsi="Arial" w:cs="Arial"/>
          <w:b/>
          <w:bCs/>
          <w:sz w:val="22"/>
          <w:szCs w:val="22"/>
        </w:rPr>
        <w:t>Más de 575 millones de gasto autorizado y 108 millones de inversión ejecutada</w:t>
      </w:r>
    </w:p>
    <w:p w14:paraId="7202F0F3" w14:textId="77777777" w:rsidR="00B7649C" w:rsidRPr="00210205"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 xml:space="preserve">El presupuesto definitivo del Ayuntamiento durante 2025 alcanzó los 636 millones de </w:t>
      </w:r>
      <w:r w:rsidRPr="00210205">
        <w:rPr>
          <w:rFonts w:ascii="Arial" w:hAnsi="Arial" w:cs="Arial"/>
          <w:sz w:val="22"/>
          <w:szCs w:val="22"/>
        </w:rPr>
        <w:t>euros. De esa cantidad, el Ayuntamiento autorizó gasto por valor de 575 millones de euros, equivalente al 90,42% del presupuesto definitivo. Las obligaciones reconocidas ascendieron finalmente a 495,4 millones de euros.</w:t>
      </w:r>
    </w:p>
    <w:p w14:paraId="75E2A02C"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Durante el ejercicio se ejecutaron inversiones por importe superior a 108 millones de euros, consolidando el elevado nivel de inversión pública desarrollado por el Ayuntamiento en los últimos ejercicios.</w:t>
      </w:r>
    </w:p>
    <w:p w14:paraId="1227A89B" w14:textId="65BDA9CF"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 xml:space="preserve">Entre las principales actuaciones ejecutadas durante 2025 destacan inversiones vinculadas a la </w:t>
      </w:r>
      <w:proofErr w:type="spellStart"/>
      <w:r w:rsidRPr="00210205">
        <w:rPr>
          <w:rFonts w:ascii="Arial" w:hAnsi="Arial" w:cs="Arial"/>
          <w:sz w:val="22"/>
          <w:szCs w:val="22"/>
        </w:rPr>
        <w:t>Bretxa</w:t>
      </w:r>
      <w:proofErr w:type="spellEnd"/>
      <w:r w:rsidRPr="00210205">
        <w:rPr>
          <w:rFonts w:ascii="Arial" w:hAnsi="Arial" w:cs="Arial"/>
          <w:sz w:val="22"/>
          <w:szCs w:val="22"/>
        </w:rPr>
        <w:t xml:space="preserve">, Ciudad Jardín, mejoras de accesibilidad urbana, asfaltado, </w:t>
      </w:r>
      <w:proofErr w:type="spellStart"/>
      <w:r w:rsidRPr="00210205">
        <w:rPr>
          <w:rFonts w:ascii="Arial" w:hAnsi="Arial" w:cs="Arial"/>
          <w:i/>
          <w:iCs/>
          <w:sz w:val="22"/>
          <w:szCs w:val="22"/>
        </w:rPr>
        <w:t>bidegorris</w:t>
      </w:r>
      <w:proofErr w:type="spellEnd"/>
      <w:r w:rsidRPr="00210205">
        <w:rPr>
          <w:rFonts w:ascii="Arial" w:hAnsi="Arial" w:cs="Arial"/>
          <w:sz w:val="22"/>
          <w:szCs w:val="22"/>
        </w:rPr>
        <w:t xml:space="preserve">, </w:t>
      </w:r>
      <w:proofErr w:type="spellStart"/>
      <w:r w:rsidRPr="00210205">
        <w:rPr>
          <w:rFonts w:ascii="Arial" w:hAnsi="Arial" w:cs="Arial"/>
          <w:i/>
          <w:iCs/>
          <w:sz w:val="22"/>
          <w:szCs w:val="22"/>
        </w:rPr>
        <w:t>haur</w:t>
      </w:r>
      <w:r w:rsidR="00667320" w:rsidRPr="00210205">
        <w:rPr>
          <w:rFonts w:ascii="Arial" w:hAnsi="Arial" w:cs="Arial"/>
          <w:i/>
          <w:iCs/>
          <w:sz w:val="22"/>
          <w:szCs w:val="22"/>
        </w:rPr>
        <w:t>-</w:t>
      </w:r>
      <w:r w:rsidRPr="00210205">
        <w:rPr>
          <w:rFonts w:ascii="Arial" w:hAnsi="Arial" w:cs="Arial"/>
          <w:i/>
          <w:iCs/>
          <w:sz w:val="22"/>
          <w:szCs w:val="22"/>
        </w:rPr>
        <w:t>eskolas</w:t>
      </w:r>
      <w:proofErr w:type="spellEnd"/>
      <w:r w:rsidRPr="00210205">
        <w:rPr>
          <w:rFonts w:ascii="Arial" w:hAnsi="Arial" w:cs="Arial"/>
          <w:sz w:val="22"/>
          <w:szCs w:val="22"/>
        </w:rPr>
        <w:t>, rehabilitación del Peine del Viento, Miramón, San Telmo, el viaducto de Iztueta o actuaciones de regeneración urbana.</w:t>
      </w:r>
    </w:p>
    <w:p w14:paraId="167BF616"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lastRenderedPageBreak/>
        <w:t>La liquidación incorpora además al presupuesto de 2026 créditos por importe superior a 100 millones de euros destinados a continuar proyectos y actuaciones actualmente en ejecución o ya comprometidas administrativamente.</w:t>
      </w:r>
    </w:p>
    <w:p w14:paraId="2C9C712D" w14:textId="542E3F1B" w:rsidR="00B7649C" w:rsidRPr="00B6437F" w:rsidRDefault="00B7649C" w:rsidP="00E83F0A">
      <w:pPr>
        <w:pStyle w:val="NormalWeb"/>
        <w:spacing w:line="276" w:lineRule="auto"/>
        <w:jc w:val="both"/>
        <w:rPr>
          <w:rFonts w:ascii="Arial" w:hAnsi="Arial" w:cs="Arial"/>
          <w:b/>
          <w:bCs/>
          <w:sz w:val="22"/>
          <w:szCs w:val="22"/>
        </w:rPr>
      </w:pPr>
      <w:r w:rsidRPr="00B6437F">
        <w:rPr>
          <w:rFonts w:ascii="Arial" w:hAnsi="Arial" w:cs="Arial"/>
          <w:b/>
          <w:bCs/>
          <w:sz w:val="22"/>
          <w:szCs w:val="22"/>
        </w:rPr>
        <w:t>Superávit, liquidez y reducción de deuda</w:t>
      </w:r>
    </w:p>
    <w:p w14:paraId="08AE9442" w14:textId="49476C6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 xml:space="preserve">La liquidación presupuestaria correspondiente al ejercicio 2025 arroja un </w:t>
      </w:r>
      <w:r w:rsidR="00667320" w:rsidRPr="00210205">
        <w:rPr>
          <w:rFonts w:ascii="Arial" w:hAnsi="Arial" w:cs="Arial"/>
          <w:sz w:val="22"/>
          <w:szCs w:val="22"/>
        </w:rPr>
        <w:t>superávit</w:t>
      </w:r>
      <w:r w:rsidRPr="00210205">
        <w:rPr>
          <w:rFonts w:ascii="Arial" w:hAnsi="Arial" w:cs="Arial"/>
          <w:sz w:val="22"/>
          <w:szCs w:val="22"/>
        </w:rPr>
        <w:t xml:space="preserve"> de 2,7 millones de euros una vez financiadas las incorporaciones de crédito necesarias para continuar actuaciones y proyectos ya iniciados.</w:t>
      </w:r>
    </w:p>
    <w:p w14:paraId="2C7A5157"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El Ayuntamiento cerró además el ejercicio con más de 54 millones de euros de fondos líquidos y un ahorro corriente de 37,1 millones de euros.</w:t>
      </w:r>
    </w:p>
    <w:p w14:paraId="6B8F3445"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La deuda financiera municipal se redujo en 6,8 millones de euros respecto al ejercicio anterior, situándose a cierre de 2025 en 104,6 millones de euros. El nivel de endeudamiento representa el 28,13% de los ingresos ordinarios, muy por debajo del límite del 70% considerado de referencia para las administraciones locales.</w:t>
      </w:r>
    </w:p>
    <w:p w14:paraId="6FD527B6"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Además, el Ayuntamiento no tuvo que formalizar el nuevo endeudamiento inicialmente previsto para financiar el ejercicio 2025.</w:t>
      </w:r>
    </w:p>
    <w:p w14:paraId="5F6159A4"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 xml:space="preserve">La deuda a largo plazo del conjunto del sector público municipal asciende a 167,8 millones de euros, incluyendo Ayuntamiento, </w:t>
      </w:r>
      <w:proofErr w:type="spellStart"/>
      <w:r w:rsidRPr="00210205">
        <w:rPr>
          <w:rFonts w:ascii="Arial" w:hAnsi="Arial" w:cs="Arial"/>
          <w:sz w:val="22"/>
          <w:szCs w:val="22"/>
        </w:rPr>
        <w:t>Etxegintza</w:t>
      </w:r>
      <w:proofErr w:type="spellEnd"/>
      <w:r w:rsidRPr="00210205">
        <w:rPr>
          <w:rFonts w:ascii="Arial" w:hAnsi="Arial" w:cs="Arial"/>
          <w:sz w:val="22"/>
          <w:szCs w:val="22"/>
        </w:rPr>
        <w:t xml:space="preserve">, </w:t>
      </w:r>
      <w:proofErr w:type="spellStart"/>
      <w:r w:rsidRPr="00210205">
        <w:rPr>
          <w:rFonts w:ascii="Arial" w:hAnsi="Arial" w:cs="Arial"/>
          <w:sz w:val="22"/>
          <w:szCs w:val="22"/>
        </w:rPr>
        <w:t>Dbus</w:t>
      </w:r>
      <w:proofErr w:type="spellEnd"/>
      <w:r w:rsidRPr="00210205">
        <w:rPr>
          <w:rFonts w:ascii="Arial" w:hAnsi="Arial" w:cs="Arial"/>
          <w:sz w:val="22"/>
          <w:szCs w:val="22"/>
        </w:rPr>
        <w:t xml:space="preserve"> y Fomento de San Sebastián.</w:t>
      </w:r>
    </w:p>
    <w:p w14:paraId="34B8D167" w14:textId="533372F1" w:rsidR="00B7649C" w:rsidRPr="00B6437F" w:rsidRDefault="00B7649C" w:rsidP="00E83F0A">
      <w:pPr>
        <w:pStyle w:val="NormalWeb"/>
        <w:spacing w:line="276" w:lineRule="auto"/>
        <w:jc w:val="both"/>
        <w:rPr>
          <w:rFonts w:ascii="Arial" w:hAnsi="Arial" w:cs="Arial"/>
          <w:b/>
          <w:bCs/>
          <w:sz w:val="22"/>
          <w:szCs w:val="22"/>
        </w:rPr>
      </w:pPr>
      <w:r w:rsidRPr="00B6437F">
        <w:rPr>
          <w:rFonts w:ascii="Arial" w:hAnsi="Arial" w:cs="Arial"/>
          <w:b/>
          <w:bCs/>
          <w:sz w:val="22"/>
          <w:szCs w:val="22"/>
        </w:rPr>
        <w:t>Evolución positiva de ingresos y actividad económica</w:t>
      </w:r>
    </w:p>
    <w:p w14:paraId="31463AAE" w14:textId="77777777"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La evolución de los ingresos ordinarios fue superior a la inicialmente prevista en algunos de los principales conceptos tributarios y de financiación municipal.</w:t>
      </w:r>
    </w:p>
    <w:p w14:paraId="6E45EC04" w14:textId="77777777"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El Fondo Foral de Financiación Municipal aportó finalmente 5,5 millones de euros más de lo inicialmente presupuestado. Asimismo, el Impuesto sobre el Incremento del Valor de los Terrenos de Naturaleza Urbana registró una liquidación superior en 4,37 millones de euros y el ICIO ingresó 3,4 millones adicionales respecto a las previsiones iniciales.</w:t>
      </w:r>
    </w:p>
    <w:p w14:paraId="0B7C483F" w14:textId="77777777"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 xml:space="preserve">En materia de ingresos de capital destacan operaciones vinculadas a </w:t>
      </w:r>
      <w:proofErr w:type="spellStart"/>
      <w:r w:rsidRPr="00B6437F">
        <w:rPr>
          <w:rFonts w:ascii="Arial" w:hAnsi="Arial" w:cs="Arial"/>
          <w:sz w:val="22"/>
          <w:szCs w:val="22"/>
        </w:rPr>
        <w:t>Illunbe</w:t>
      </w:r>
      <w:proofErr w:type="spellEnd"/>
      <w:r w:rsidRPr="00B6437F">
        <w:rPr>
          <w:rFonts w:ascii="Arial" w:hAnsi="Arial" w:cs="Arial"/>
          <w:sz w:val="22"/>
          <w:szCs w:val="22"/>
        </w:rPr>
        <w:t xml:space="preserve">, Ciudad Jardín, la </w:t>
      </w:r>
      <w:proofErr w:type="spellStart"/>
      <w:r w:rsidRPr="00B6437F">
        <w:rPr>
          <w:rFonts w:ascii="Arial" w:hAnsi="Arial" w:cs="Arial"/>
          <w:sz w:val="22"/>
          <w:szCs w:val="22"/>
        </w:rPr>
        <w:t>monetarización</w:t>
      </w:r>
      <w:proofErr w:type="spellEnd"/>
      <w:r w:rsidRPr="00B6437F">
        <w:rPr>
          <w:rFonts w:ascii="Arial" w:hAnsi="Arial" w:cs="Arial"/>
          <w:sz w:val="22"/>
          <w:szCs w:val="22"/>
        </w:rPr>
        <w:t xml:space="preserve"> del 15%, </w:t>
      </w:r>
      <w:proofErr w:type="spellStart"/>
      <w:r w:rsidRPr="00B6437F">
        <w:rPr>
          <w:rFonts w:ascii="Arial" w:hAnsi="Arial" w:cs="Arial"/>
          <w:sz w:val="22"/>
          <w:szCs w:val="22"/>
        </w:rPr>
        <w:t>Añorgako</w:t>
      </w:r>
      <w:proofErr w:type="spellEnd"/>
      <w:r w:rsidRPr="00B6437F">
        <w:rPr>
          <w:rFonts w:ascii="Arial" w:hAnsi="Arial" w:cs="Arial"/>
          <w:sz w:val="22"/>
          <w:szCs w:val="22"/>
        </w:rPr>
        <w:t xml:space="preserve"> </w:t>
      </w:r>
      <w:proofErr w:type="spellStart"/>
      <w:r w:rsidRPr="00B6437F">
        <w:rPr>
          <w:rFonts w:ascii="Arial" w:hAnsi="Arial" w:cs="Arial"/>
          <w:sz w:val="22"/>
          <w:szCs w:val="22"/>
        </w:rPr>
        <w:t>Geltokia</w:t>
      </w:r>
      <w:proofErr w:type="spellEnd"/>
      <w:r w:rsidRPr="00B6437F">
        <w:rPr>
          <w:rFonts w:ascii="Arial" w:hAnsi="Arial" w:cs="Arial"/>
          <w:sz w:val="22"/>
          <w:szCs w:val="22"/>
        </w:rPr>
        <w:t xml:space="preserve"> o </w:t>
      </w:r>
      <w:proofErr w:type="spellStart"/>
      <w:r w:rsidRPr="00B6437F">
        <w:rPr>
          <w:rFonts w:ascii="Arial" w:hAnsi="Arial" w:cs="Arial"/>
          <w:sz w:val="22"/>
          <w:szCs w:val="22"/>
        </w:rPr>
        <w:t>Bretxa</w:t>
      </w:r>
      <w:proofErr w:type="spellEnd"/>
      <w:r w:rsidRPr="00B6437F">
        <w:rPr>
          <w:rFonts w:ascii="Arial" w:hAnsi="Arial" w:cs="Arial"/>
          <w:sz w:val="22"/>
          <w:szCs w:val="22"/>
        </w:rPr>
        <w:t>.</w:t>
      </w:r>
    </w:p>
    <w:p w14:paraId="39EC56DA" w14:textId="23FEFA03" w:rsidR="00B7649C" w:rsidRPr="005557E0" w:rsidRDefault="00B7649C" w:rsidP="00E83F0A">
      <w:pPr>
        <w:pStyle w:val="NormalWeb"/>
        <w:spacing w:line="276" w:lineRule="auto"/>
        <w:jc w:val="both"/>
        <w:rPr>
          <w:rFonts w:ascii="Arial" w:hAnsi="Arial" w:cs="Arial"/>
          <w:b/>
          <w:bCs/>
          <w:sz w:val="22"/>
          <w:szCs w:val="22"/>
        </w:rPr>
      </w:pPr>
      <w:r w:rsidRPr="005557E0">
        <w:rPr>
          <w:rFonts w:ascii="Arial" w:hAnsi="Arial" w:cs="Arial"/>
          <w:b/>
          <w:bCs/>
          <w:sz w:val="22"/>
          <w:szCs w:val="22"/>
        </w:rPr>
        <w:t xml:space="preserve">Más de 2.760 personas trabajadoras </w:t>
      </w:r>
      <w:r w:rsidR="005557E0" w:rsidRPr="005557E0">
        <w:rPr>
          <w:rFonts w:ascii="Arial" w:hAnsi="Arial" w:cs="Arial"/>
          <w:b/>
          <w:bCs/>
          <w:sz w:val="22"/>
          <w:szCs w:val="22"/>
        </w:rPr>
        <w:t>para un mejor servicio público</w:t>
      </w:r>
    </w:p>
    <w:p w14:paraId="5DA21396" w14:textId="0D4894E1"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 xml:space="preserve">La Cuenta General refleja también la dimensión del conjunto del sector público municipal, integrado por 2.760 </w:t>
      </w:r>
      <w:proofErr w:type="gramStart"/>
      <w:r w:rsidRPr="00210205">
        <w:rPr>
          <w:rFonts w:ascii="Arial" w:hAnsi="Arial" w:cs="Arial"/>
          <w:sz w:val="22"/>
          <w:szCs w:val="22"/>
        </w:rPr>
        <w:t>trabajadores y trabajadoras</w:t>
      </w:r>
      <w:proofErr w:type="gramEnd"/>
      <w:r w:rsidRPr="00210205">
        <w:rPr>
          <w:rFonts w:ascii="Arial" w:hAnsi="Arial" w:cs="Arial"/>
          <w:sz w:val="22"/>
          <w:szCs w:val="22"/>
        </w:rPr>
        <w:t xml:space="preserve"> entre Ayuntamiento, organismos autónomos, entidades públicas empresariales y sociedades públicas municipales</w:t>
      </w:r>
      <w:r w:rsidR="00FF1455" w:rsidRPr="00210205">
        <w:rPr>
          <w:rFonts w:ascii="Arial" w:hAnsi="Arial" w:cs="Arial"/>
          <w:sz w:val="22"/>
          <w:szCs w:val="22"/>
        </w:rPr>
        <w:t>.</w:t>
      </w:r>
    </w:p>
    <w:p w14:paraId="2DD63DCE" w14:textId="6C8B7980" w:rsidR="00B7649C" w:rsidRPr="00210205" w:rsidRDefault="00702BFB" w:rsidP="00E83F0A">
      <w:pPr>
        <w:pStyle w:val="NormalWeb"/>
        <w:spacing w:line="276" w:lineRule="auto"/>
        <w:jc w:val="both"/>
        <w:rPr>
          <w:rFonts w:ascii="Arial" w:hAnsi="Arial" w:cs="Arial"/>
          <w:sz w:val="22"/>
          <w:szCs w:val="22"/>
        </w:rPr>
      </w:pPr>
      <w:r w:rsidRPr="00210205">
        <w:rPr>
          <w:rFonts w:ascii="Arial" w:hAnsi="Arial" w:cs="Arial"/>
          <w:sz w:val="22"/>
          <w:szCs w:val="22"/>
        </w:rPr>
        <w:lastRenderedPageBreak/>
        <w:t xml:space="preserve">Todo ello redunda además en un mejor servicio para las y los donostiarras. </w:t>
      </w:r>
      <w:r w:rsidR="00B7649C" w:rsidRPr="00210205">
        <w:rPr>
          <w:rFonts w:ascii="Arial" w:hAnsi="Arial" w:cs="Arial"/>
          <w:sz w:val="22"/>
          <w:szCs w:val="22"/>
        </w:rPr>
        <w:t xml:space="preserve">En el ámbito de la movilidad, </w:t>
      </w:r>
      <w:r w:rsidRPr="00210205">
        <w:rPr>
          <w:rFonts w:ascii="Arial" w:hAnsi="Arial" w:cs="Arial"/>
          <w:sz w:val="22"/>
          <w:szCs w:val="22"/>
        </w:rPr>
        <w:t xml:space="preserve">por ejemplo, </w:t>
      </w:r>
      <w:proofErr w:type="spellStart"/>
      <w:r w:rsidR="00B7649C" w:rsidRPr="00210205">
        <w:rPr>
          <w:rFonts w:ascii="Arial" w:hAnsi="Arial" w:cs="Arial"/>
          <w:sz w:val="22"/>
          <w:szCs w:val="22"/>
        </w:rPr>
        <w:t>Dbus</w:t>
      </w:r>
      <w:proofErr w:type="spellEnd"/>
      <w:r w:rsidR="00B7649C" w:rsidRPr="00210205">
        <w:rPr>
          <w:rFonts w:ascii="Arial" w:hAnsi="Arial" w:cs="Arial"/>
          <w:sz w:val="22"/>
          <w:szCs w:val="22"/>
        </w:rPr>
        <w:t xml:space="preserve"> registró más de 33,7 millones de viajes durante 2025, un 5,3% más que el año anterior. La compañía municipal cuenta actualmente con una flota de 144 autobuses, entre ellos 48 vehículos eléctricos y 54 híbridos.</w:t>
      </w:r>
    </w:p>
    <w:p w14:paraId="21558A02" w14:textId="0D9F3CE4" w:rsidR="00B7649C" w:rsidRPr="005557E0"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La Escuela Municipal de Música y Danza</w:t>
      </w:r>
      <w:r w:rsidR="000D32DD" w:rsidRPr="00210205">
        <w:rPr>
          <w:rFonts w:ascii="Arial" w:hAnsi="Arial" w:cs="Arial"/>
          <w:sz w:val="22"/>
          <w:szCs w:val="22"/>
        </w:rPr>
        <w:t>, por su parte</w:t>
      </w:r>
      <w:r w:rsidRPr="00210205">
        <w:rPr>
          <w:rFonts w:ascii="Arial" w:hAnsi="Arial" w:cs="Arial"/>
          <w:sz w:val="22"/>
          <w:szCs w:val="22"/>
        </w:rPr>
        <w:t xml:space="preserve"> alcanzó 3.908 matrículas durante el curso 2025/2026</w:t>
      </w:r>
      <w:r w:rsidR="000D32DD" w:rsidRPr="00210205">
        <w:rPr>
          <w:rFonts w:ascii="Arial" w:hAnsi="Arial" w:cs="Arial"/>
          <w:sz w:val="22"/>
          <w:szCs w:val="22"/>
        </w:rPr>
        <w:t xml:space="preserve">, y </w:t>
      </w:r>
      <w:r w:rsidRPr="00210205">
        <w:rPr>
          <w:rFonts w:ascii="Arial" w:hAnsi="Arial" w:cs="Arial"/>
          <w:sz w:val="22"/>
          <w:szCs w:val="22"/>
        </w:rPr>
        <w:t xml:space="preserve">Donostia </w:t>
      </w:r>
      <w:proofErr w:type="spellStart"/>
      <w:r w:rsidRPr="00210205">
        <w:rPr>
          <w:rFonts w:ascii="Arial" w:hAnsi="Arial" w:cs="Arial"/>
          <w:sz w:val="22"/>
          <w:szCs w:val="22"/>
        </w:rPr>
        <w:t>Kultura</w:t>
      </w:r>
      <w:proofErr w:type="spellEnd"/>
      <w:r w:rsidRPr="00210205">
        <w:rPr>
          <w:rFonts w:ascii="Arial" w:hAnsi="Arial" w:cs="Arial"/>
          <w:sz w:val="22"/>
          <w:szCs w:val="22"/>
        </w:rPr>
        <w:t xml:space="preserve"> cerró el ejercicio</w:t>
      </w:r>
      <w:r w:rsidRPr="005557E0">
        <w:rPr>
          <w:rFonts w:ascii="Arial" w:hAnsi="Arial" w:cs="Arial"/>
          <w:sz w:val="22"/>
          <w:szCs w:val="22"/>
        </w:rPr>
        <w:t xml:space="preserve"> con una plantilla de 241 </w:t>
      </w:r>
      <w:r w:rsidR="007918AF">
        <w:rPr>
          <w:rFonts w:ascii="Arial" w:hAnsi="Arial" w:cs="Arial"/>
          <w:sz w:val="22"/>
          <w:szCs w:val="22"/>
        </w:rPr>
        <w:t>personas trabajadoras</w:t>
      </w:r>
      <w:r w:rsidRPr="005557E0">
        <w:rPr>
          <w:rFonts w:ascii="Arial" w:hAnsi="Arial" w:cs="Arial"/>
          <w:sz w:val="22"/>
          <w:szCs w:val="22"/>
        </w:rPr>
        <w:t xml:space="preserve"> y un periodo medio de pago a proveedores de 22 días.</w:t>
      </w:r>
    </w:p>
    <w:p w14:paraId="699C22F3" w14:textId="07A4DACD" w:rsidR="00B7649C" w:rsidRPr="00B6437F" w:rsidRDefault="00B7649C" w:rsidP="00E83F0A">
      <w:pPr>
        <w:pStyle w:val="NormalWeb"/>
        <w:spacing w:line="276" w:lineRule="auto"/>
        <w:jc w:val="both"/>
        <w:rPr>
          <w:rFonts w:ascii="Arial" w:hAnsi="Arial" w:cs="Arial"/>
          <w:b/>
          <w:bCs/>
          <w:sz w:val="22"/>
          <w:szCs w:val="22"/>
        </w:rPr>
      </w:pPr>
      <w:r w:rsidRPr="00B6437F">
        <w:rPr>
          <w:rFonts w:ascii="Arial" w:hAnsi="Arial" w:cs="Arial"/>
          <w:b/>
          <w:bCs/>
          <w:sz w:val="22"/>
          <w:szCs w:val="22"/>
        </w:rPr>
        <w:t>Coste y rendimiento de servicios públicos</w:t>
      </w:r>
    </w:p>
    <w:p w14:paraId="25F5B545" w14:textId="77777777"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La Cuenta General incorpora memorias justificativas sobre el coste y rendimiento de diferentes servicios públicos municipales.</w:t>
      </w:r>
    </w:p>
    <w:p w14:paraId="5E37EE9B" w14:textId="77777777" w:rsidR="00B7649C" w:rsidRPr="00210205" w:rsidRDefault="00B7649C" w:rsidP="00E83F0A">
      <w:pPr>
        <w:pStyle w:val="NormalWeb"/>
        <w:spacing w:line="276" w:lineRule="auto"/>
        <w:jc w:val="both"/>
        <w:rPr>
          <w:rFonts w:ascii="Arial" w:hAnsi="Arial" w:cs="Arial"/>
          <w:sz w:val="22"/>
          <w:szCs w:val="22"/>
        </w:rPr>
      </w:pPr>
      <w:r w:rsidRPr="00210205">
        <w:rPr>
          <w:rFonts w:ascii="Arial" w:hAnsi="Arial" w:cs="Arial"/>
          <w:sz w:val="22"/>
          <w:szCs w:val="22"/>
        </w:rPr>
        <w:t>En el servicio de recogida de residuos, el déficit se redujo de 4,8 millones de euros en 2024 a 150.235 euros en 2025, tras la actualización de la tasa derivada de la aplicación de la Ley 7/2022 de residuos y suelos contaminados para una economía circular.</w:t>
      </w:r>
    </w:p>
    <w:p w14:paraId="22C9A8A5" w14:textId="77777777"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En agua y saneamiento, el déficit conjunto del servicio se redujo en más de 1,6 millones de euros respecto al ejercicio anterior, manteniendo además tarifas competitivas respecto a otros municipios y consorcios del entorno.</w:t>
      </w:r>
    </w:p>
    <w:p w14:paraId="2D5790D8" w14:textId="6A304AAA" w:rsidR="00B7649C" w:rsidRPr="00B6437F"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El servicio de estacionamiento regulado en superficie</w:t>
      </w:r>
      <w:r w:rsidR="00661BF7">
        <w:rPr>
          <w:rFonts w:ascii="Arial" w:hAnsi="Arial" w:cs="Arial"/>
          <w:sz w:val="22"/>
          <w:szCs w:val="22"/>
        </w:rPr>
        <w:t>, por su parte,</w:t>
      </w:r>
      <w:r w:rsidRPr="00B6437F">
        <w:rPr>
          <w:rFonts w:ascii="Arial" w:hAnsi="Arial" w:cs="Arial"/>
          <w:sz w:val="22"/>
          <w:szCs w:val="22"/>
        </w:rPr>
        <w:t xml:space="preserve"> obtuvo un rendimiento positivo de 1,15 millones de euros durante 2025.</w:t>
      </w:r>
    </w:p>
    <w:p w14:paraId="135C6C36" w14:textId="77777777" w:rsidR="00B7649C" w:rsidRPr="00210205"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 xml:space="preserve">En materia de pago a proveedores, el periodo medio de pago global del grupo administración se situó en 23,51 </w:t>
      </w:r>
      <w:r w:rsidRPr="00210205">
        <w:rPr>
          <w:rFonts w:ascii="Arial" w:hAnsi="Arial" w:cs="Arial"/>
          <w:sz w:val="22"/>
          <w:szCs w:val="22"/>
        </w:rPr>
        <w:t>días, por debajo del límite legal establecido.</w:t>
      </w:r>
    </w:p>
    <w:p w14:paraId="5BB020DE" w14:textId="77777777" w:rsidR="00B7649C" w:rsidRDefault="00B7649C" w:rsidP="00E83F0A">
      <w:pPr>
        <w:pStyle w:val="NormalWeb"/>
        <w:spacing w:line="276" w:lineRule="auto"/>
        <w:jc w:val="both"/>
        <w:rPr>
          <w:rFonts w:ascii="Arial" w:hAnsi="Arial" w:cs="Arial"/>
          <w:sz w:val="22"/>
          <w:szCs w:val="22"/>
        </w:rPr>
      </w:pPr>
      <w:r w:rsidRPr="00B6437F">
        <w:rPr>
          <w:rFonts w:ascii="Arial" w:hAnsi="Arial" w:cs="Arial"/>
          <w:sz w:val="22"/>
          <w:szCs w:val="22"/>
        </w:rPr>
        <w:t>Orbegozo ha destacado que “la Cuenta General permite comprobar el importante volumen de actividad pública que desarrolla el Ayuntamiento y el conjunto del sector público municipal, así como la capacidad financiera existente para seguir impulsando inversiones, servicios y proyectos estratégicos para la ciudad”.</w:t>
      </w:r>
    </w:p>
    <w:p w14:paraId="37A34BE9" w14:textId="3C5403F7" w:rsidR="00FE766A" w:rsidRPr="00B6437F" w:rsidRDefault="00FE766A" w:rsidP="00FE766A">
      <w:pPr>
        <w:pStyle w:val="NormalWeb"/>
        <w:spacing w:line="276" w:lineRule="auto"/>
        <w:jc w:val="right"/>
        <w:rPr>
          <w:rFonts w:ascii="Arial" w:hAnsi="Arial" w:cs="Arial"/>
          <w:sz w:val="22"/>
          <w:szCs w:val="22"/>
        </w:rPr>
      </w:pPr>
      <w:r>
        <w:rPr>
          <w:rFonts w:ascii="Arial" w:hAnsi="Arial" w:cs="Arial"/>
          <w:sz w:val="22"/>
          <w:szCs w:val="22"/>
        </w:rPr>
        <w:t xml:space="preserve">Donostia / San Sebastián, </w:t>
      </w:r>
      <w:r w:rsidR="006B1AB1">
        <w:rPr>
          <w:rFonts w:ascii="Arial" w:hAnsi="Arial" w:cs="Arial"/>
          <w:sz w:val="22"/>
          <w:szCs w:val="22"/>
        </w:rPr>
        <w:t>15</w:t>
      </w:r>
      <w:r>
        <w:rPr>
          <w:rFonts w:ascii="Arial" w:hAnsi="Arial" w:cs="Arial"/>
          <w:sz w:val="22"/>
          <w:szCs w:val="22"/>
        </w:rPr>
        <w:t xml:space="preserve"> de mayo de 2026</w:t>
      </w:r>
    </w:p>
    <w:p w14:paraId="120CF744" w14:textId="77777777" w:rsidR="00D55CA3" w:rsidRPr="00B7649C" w:rsidRDefault="00D55CA3" w:rsidP="00B7649C">
      <w:pPr>
        <w:spacing w:line="360" w:lineRule="auto"/>
        <w:jc w:val="both"/>
        <w:rPr>
          <w:rFonts w:ascii="Arial" w:hAnsi="Arial" w:cs="Arial"/>
        </w:rPr>
      </w:pPr>
    </w:p>
    <w:sectPr w:rsidR="00D55CA3" w:rsidRPr="00B7649C" w:rsidSect="008A20A8">
      <w:headerReference w:type="default" r:id="rId7"/>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B38" w14:textId="77777777" w:rsidR="00895156" w:rsidRDefault="00895156" w:rsidP="00B6437F">
      <w:pPr>
        <w:spacing w:after="0" w:line="240" w:lineRule="auto"/>
      </w:pPr>
      <w:r>
        <w:separator/>
      </w:r>
    </w:p>
  </w:endnote>
  <w:endnote w:type="continuationSeparator" w:id="0">
    <w:p w14:paraId="5AF75531" w14:textId="77777777" w:rsidR="00895156" w:rsidRDefault="00895156" w:rsidP="00B6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CCEC" w14:textId="77777777" w:rsidR="00895156" w:rsidRDefault="00895156" w:rsidP="00B6437F">
      <w:pPr>
        <w:spacing w:after="0" w:line="240" w:lineRule="auto"/>
      </w:pPr>
      <w:r>
        <w:separator/>
      </w:r>
    </w:p>
  </w:footnote>
  <w:footnote w:type="continuationSeparator" w:id="0">
    <w:p w14:paraId="66F5C3D7" w14:textId="77777777" w:rsidR="00895156" w:rsidRDefault="00895156" w:rsidP="00B6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A1BD" w14:textId="1D28C4E4" w:rsidR="00B6437F" w:rsidRDefault="00E83F0A">
    <w:pPr>
      <w:pStyle w:val="Encabezado"/>
    </w:pPr>
    <w:r>
      <w:rPr>
        <w:noProof/>
      </w:rPr>
      <w:drawing>
        <wp:anchor distT="0" distB="0" distL="0" distR="0" simplePos="0" relativeHeight="251659264" behindDoc="1" locked="0" layoutInCell="0" allowOverlap="1" wp14:anchorId="401630F3" wp14:editId="12F5AC05">
          <wp:simplePos x="0" y="0"/>
          <wp:positionH relativeFrom="page">
            <wp:posOffset>12116</wp:posOffset>
          </wp:positionH>
          <wp:positionV relativeFrom="page">
            <wp:posOffset>-4598</wp:posOffset>
          </wp:positionV>
          <wp:extent cx="7542530" cy="1266825"/>
          <wp:effectExtent l="0" t="0" r="0" b="0"/>
          <wp:wrapNone/>
          <wp:docPr id="1750608076"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9C"/>
    <w:rsid w:val="00040FE7"/>
    <w:rsid w:val="00057BF8"/>
    <w:rsid w:val="000D32DD"/>
    <w:rsid w:val="00113D15"/>
    <w:rsid w:val="00177777"/>
    <w:rsid w:val="001B4C2A"/>
    <w:rsid w:val="00210205"/>
    <w:rsid w:val="00225688"/>
    <w:rsid w:val="002858AE"/>
    <w:rsid w:val="00290E3F"/>
    <w:rsid w:val="00306F2A"/>
    <w:rsid w:val="00324621"/>
    <w:rsid w:val="00352E7A"/>
    <w:rsid w:val="004B7EEF"/>
    <w:rsid w:val="004D23AA"/>
    <w:rsid w:val="005557E0"/>
    <w:rsid w:val="00600F8F"/>
    <w:rsid w:val="00645A3C"/>
    <w:rsid w:val="00661BF7"/>
    <w:rsid w:val="00667320"/>
    <w:rsid w:val="006B1AB1"/>
    <w:rsid w:val="006D2388"/>
    <w:rsid w:val="006F4282"/>
    <w:rsid w:val="00702BFB"/>
    <w:rsid w:val="007918AF"/>
    <w:rsid w:val="008822B6"/>
    <w:rsid w:val="00895156"/>
    <w:rsid w:val="0089695F"/>
    <w:rsid w:val="00897915"/>
    <w:rsid w:val="00897A63"/>
    <w:rsid w:val="008A20A8"/>
    <w:rsid w:val="008B5A57"/>
    <w:rsid w:val="008C18F5"/>
    <w:rsid w:val="008C74B0"/>
    <w:rsid w:val="0099714F"/>
    <w:rsid w:val="00B567C0"/>
    <w:rsid w:val="00B6437F"/>
    <w:rsid w:val="00B7649C"/>
    <w:rsid w:val="00C46A20"/>
    <w:rsid w:val="00D55CA3"/>
    <w:rsid w:val="00E446C5"/>
    <w:rsid w:val="00E83F0A"/>
    <w:rsid w:val="00E85DB9"/>
    <w:rsid w:val="00F95F9B"/>
    <w:rsid w:val="00FB4832"/>
    <w:rsid w:val="00FE766A"/>
    <w:rsid w:val="00FF1455"/>
    <w:rsid w:val="00FF71A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96DF"/>
  <w15:chartTrackingRefBased/>
  <w15:docId w15:val="{EE01106B-AD2E-46C5-9398-ED3F5F81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B7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4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4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4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4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4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4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4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4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49C"/>
    <w:rPr>
      <w:rFonts w:eastAsiaTheme="majorEastAsia" w:cstheme="majorBidi"/>
      <w:color w:val="272727" w:themeColor="text1" w:themeTint="D8"/>
    </w:rPr>
  </w:style>
  <w:style w:type="paragraph" w:styleId="Ttulo">
    <w:name w:val="Title"/>
    <w:basedOn w:val="Normal"/>
    <w:next w:val="Normal"/>
    <w:link w:val="TtuloCar"/>
    <w:uiPriority w:val="10"/>
    <w:qFormat/>
    <w:rsid w:val="00B76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4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49C"/>
    <w:pPr>
      <w:spacing w:before="160"/>
      <w:jc w:val="center"/>
    </w:pPr>
    <w:rPr>
      <w:i/>
      <w:iCs/>
      <w:color w:val="404040" w:themeColor="text1" w:themeTint="BF"/>
    </w:rPr>
  </w:style>
  <w:style w:type="character" w:customStyle="1" w:styleId="CitaCar">
    <w:name w:val="Cita Car"/>
    <w:basedOn w:val="Fuentedeprrafopredeter"/>
    <w:link w:val="Cita"/>
    <w:uiPriority w:val="29"/>
    <w:rsid w:val="00B7649C"/>
    <w:rPr>
      <w:i/>
      <w:iCs/>
      <w:color w:val="404040" w:themeColor="text1" w:themeTint="BF"/>
    </w:rPr>
  </w:style>
  <w:style w:type="paragraph" w:styleId="Prrafodelista">
    <w:name w:val="List Paragraph"/>
    <w:basedOn w:val="Normal"/>
    <w:uiPriority w:val="34"/>
    <w:qFormat/>
    <w:rsid w:val="00B7649C"/>
    <w:pPr>
      <w:ind w:left="720"/>
      <w:contextualSpacing/>
    </w:pPr>
  </w:style>
  <w:style w:type="character" w:styleId="nfasisintenso">
    <w:name w:val="Intense Emphasis"/>
    <w:basedOn w:val="Fuentedeprrafopredeter"/>
    <w:uiPriority w:val="21"/>
    <w:qFormat/>
    <w:rsid w:val="00B7649C"/>
    <w:rPr>
      <w:i/>
      <w:iCs/>
      <w:color w:val="0F4761" w:themeColor="accent1" w:themeShade="BF"/>
    </w:rPr>
  </w:style>
  <w:style w:type="paragraph" w:styleId="Citadestacada">
    <w:name w:val="Intense Quote"/>
    <w:basedOn w:val="Normal"/>
    <w:next w:val="Normal"/>
    <w:link w:val="CitadestacadaCar"/>
    <w:uiPriority w:val="30"/>
    <w:qFormat/>
    <w:rsid w:val="00B7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9C"/>
    <w:rPr>
      <w:i/>
      <w:iCs/>
      <w:color w:val="0F4761" w:themeColor="accent1" w:themeShade="BF"/>
    </w:rPr>
  </w:style>
  <w:style w:type="character" w:styleId="Referenciaintensa">
    <w:name w:val="Intense Reference"/>
    <w:basedOn w:val="Fuentedeprrafopredeter"/>
    <w:uiPriority w:val="32"/>
    <w:qFormat/>
    <w:rsid w:val="00B7649C"/>
    <w:rPr>
      <w:b/>
      <w:bCs/>
      <w:smallCaps/>
      <w:color w:val="0F4761" w:themeColor="accent1" w:themeShade="BF"/>
      <w:spacing w:val="5"/>
    </w:rPr>
  </w:style>
  <w:style w:type="paragraph" w:styleId="NormalWeb">
    <w:name w:val="Normal (Web)"/>
    <w:basedOn w:val="Normal"/>
    <w:uiPriority w:val="99"/>
    <w:semiHidden/>
    <w:unhideWhenUsed/>
    <w:rsid w:val="00B7649C"/>
    <w:pPr>
      <w:spacing w:before="100" w:beforeAutospacing="1" w:after="100" w:afterAutospacing="1" w:line="240" w:lineRule="auto"/>
    </w:pPr>
    <w:rPr>
      <w:rFonts w:ascii="Times New Roman" w:eastAsia="Times New Roman" w:hAnsi="Times New Roman" w:cs="Times New Roman"/>
      <w:kern w:val="0"/>
      <w:lang w:eastAsia="eu-ES"/>
      <w14:ligatures w14:val="none"/>
    </w:rPr>
  </w:style>
  <w:style w:type="paragraph" w:styleId="Encabezado">
    <w:name w:val="header"/>
    <w:basedOn w:val="Normal"/>
    <w:link w:val="EncabezadoCar"/>
    <w:uiPriority w:val="99"/>
    <w:unhideWhenUsed/>
    <w:rsid w:val="00B643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437F"/>
    <w:rPr>
      <w:lang w:val="es-ES"/>
    </w:rPr>
  </w:style>
  <w:style w:type="paragraph" w:styleId="Piedepgina">
    <w:name w:val="footer"/>
    <w:basedOn w:val="Normal"/>
    <w:link w:val="PiedepginaCar"/>
    <w:uiPriority w:val="99"/>
    <w:unhideWhenUsed/>
    <w:rsid w:val="00B643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437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92639-A85B-4A4B-A61D-56F4C5BA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1879</Words>
  <Characters>10713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Orbegozo Uribe Kerman</dc:creator>
  <cp:keywords/>
  <dc:description/>
  <cp:lastModifiedBy>Sarasola Nieto Cristina</cp:lastModifiedBy>
  <cp:revision>34</cp:revision>
  <dcterms:created xsi:type="dcterms:W3CDTF">2026-05-13T12:42:00Z</dcterms:created>
  <dcterms:modified xsi:type="dcterms:W3CDTF">2026-05-15T09:06:00Z</dcterms:modified>
</cp:coreProperties>
</file>