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media/image1.png" ContentType="image/png"/>
  <Override PartName="/word/header3.xml" ContentType="application/vnd.openxmlformats-officedocument.wordprocessingml.header+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3.xml.rels" ContentType="application/vnd.openxmlformats-package.relationships+xml"/>
  <Override PartName="/word/_rels/header2.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
        <w:rPr/>
      </w:pPr>
      <w:r>
        <w:rPr/>
      </w:r>
    </w:p>
    <w:p>
      <w:pPr>
        <w:pStyle w:val="Normal"/>
        <w:jc w:val="center"/>
        <w:rPr/>
      </w:pPr>
      <w:r>
        <w:rPr>
          <w:rStyle w:val="Strong"/>
          <w:rFonts w:eastAsia="Arial" w:cs="Arial" w:ascii="Arial" w:hAnsi="Arial"/>
          <w:sz w:val="40"/>
          <w:szCs w:val="40"/>
          <w:lang w:val="eu-ES"/>
        </w:rPr>
        <w:t>Udalak gehiago kontrolatuko ditu tamaina handiko hondakinak, ordutegitik kanpo bota ez daitezen</w:t>
      </w:r>
    </w:p>
    <w:p>
      <w:pPr>
        <w:pStyle w:val="Normal"/>
        <w:jc w:val="center"/>
        <w:rPr/>
      </w:pPr>
      <w:r>
        <w:rPr/>
      </w:r>
    </w:p>
    <w:p>
      <w:pPr>
        <w:pStyle w:val="Normal"/>
        <w:jc w:val="center"/>
        <w:rPr/>
      </w:pPr>
      <w:r>
        <w:rPr>
          <w:rStyle w:val="Strong"/>
          <w:rFonts w:eastAsia="Arial" w:cs="Arial" w:ascii="Arial" w:hAnsi="Arial"/>
          <w:b w:val="false"/>
          <w:bCs w:val="false"/>
          <w:i/>
          <w:iCs/>
          <w:sz w:val="28"/>
          <w:szCs w:val="28"/>
          <w:lang w:val="eu-ES"/>
        </w:rPr>
        <w:t>Aurten, 47.645 abisu jaso dira tamaina handiko hondakinak utzi behar ez diren egun, ordu eta tokietan utzita egoteagatik. Hondakinen % 20 baino gehiago horretarako ezarritako egunetatik kanpo botatzen dira</w:t>
      </w:r>
    </w:p>
    <w:p>
      <w:pPr>
        <w:pStyle w:val="Normal"/>
        <w:rPr/>
      </w:pPr>
      <w:r>
        <w:rPr/>
      </w:r>
    </w:p>
    <w:p>
      <w:pPr>
        <w:pStyle w:val="Normal"/>
        <w:rPr/>
      </w:pPr>
      <w:r>
        <w:rPr/>
      </w:r>
    </w:p>
    <w:p>
      <w:pPr>
        <w:pStyle w:val="Normal"/>
        <w:jc w:val="both"/>
        <w:rPr>
          <w:rFonts w:ascii="Helv" w:hAnsi="Helv" w:cs="Helv"/>
          <w:color w:val="000000"/>
          <w:sz w:val="24"/>
        </w:rPr>
      </w:pPr>
      <w:r>
        <w:rPr>
          <w:rFonts w:eastAsia="Helv" w:cs="Helv" w:ascii="Helv" w:hAnsi="Helv"/>
          <w:color w:val="000000"/>
          <w:sz w:val="24"/>
          <w:szCs w:val="24"/>
          <w:lang w:val="eu-ES"/>
        </w:rPr>
        <w:t xml:space="preserve">Donostiako Udalak tamaina handiko hondakinak bide publikoan botatzeari buruzko kontzientziazio eta kontrol neurriak indartuko ditu, mota horretako hondakinak hobeto biltzearren eta behar ez den moduan bota ez daitezen. </w:t>
      </w:r>
    </w:p>
    <w:p>
      <w:pPr>
        <w:pStyle w:val="Normal"/>
        <w:jc w:val="both"/>
        <w:rPr>
          <w:rFonts w:ascii="Helv" w:hAnsi="Helv" w:cs="Helv"/>
          <w:color w:val="000000"/>
          <w:sz w:val="24"/>
        </w:rPr>
      </w:pPr>
      <w:r>
        <w:rPr>
          <w:rFonts w:cs="Helv" w:ascii="Helv" w:hAnsi="Helv"/>
          <w:color w:val="000000"/>
          <w:sz w:val="24"/>
        </w:rPr>
      </w:r>
    </w:p>
    <w:p>
      <w:pPr>
        <w:pStyle w:val="Normal"/>
        <w:jc w:val="both"/>
        <w:rPr>
          <w:rFonts w:ascii="Helv" w:hAnsi="Helv" w:cs="Helv"/>
          <w:color w:val="000000"/>
          <w:sz w:val="24"/>
        </w:rPr>
      </w:pPr>
      <w:r>
        <w:rPr>
          <w:rFonts w:eastAsia="Helv" w:cs="Helv" w:ascii="Helv" w:hAnsi="Helv"/>
          <w:color w:val="000000"/>
          <w:sz w:val="24"/>
          <w:szCs w:val="24"/>
          <w:lang w:val="eu-ES"/>
        </w:rPr>
        <w:t xml:space="preserve">Alde batetik, Hiri Mantentze eta Zerbitzuetako Sailak 1.300 informazio-binilo jarriko ditu hiriko edukiontzietan, A3 formatuan, modu argi eta ikusgarrian gogorarazteko zer egunetan eta ordutan utzi behar diren altzariak, koltxoiak, etxetresna elektrikoak eta etxeko beste tresna batzuk. Eta, bestetik, Udaltzaingoak kontrola eta zaintza areagotuko ditu. </w:t>
      </w:r>
    </w:p>
    <w:p>
      <w:pPr>
        <w:pStyle w:val="Normal"/>
        <w:jc w:val="both"/>
        <w:rPr>
          <w:rFonts w:ascii="Helv" w:hAnsi="Helv" w:cs="Helv"/>
          <w:color w:val="000000"/>
          <w:sz w:val="24"/>
        </w:rPr>
      </w:pPr>
      <w:r>
        <w:rPr>
          <w:rFonts w:cs="Helv" w:ascii="Helv" w:hAnsi="Helv"/>
          <w:color w:val="000000"/>
          <w:sz w:val="24"/>
        </w:rPr>
      </w:r>
    </w:p>
    <w:p>
      <w:pPr>
        <w:pStyle w:val="Normal"/>
        <w:jc w:val="both"/>
        <w:rPr>
          <w:rFonts w:ascii="Helv" w:hAnsi="Helv" w:cs="Helv"/>
          <w:color w:val="000000"/>
          <w:sz w:val="24"/>
        </w:rPr>
      </w:pPr>
      <w:r>
        <w:rPr>
          <w:rFonts w:eastAsia="Helv" w:cs="Helv" w:ascii="Helv" w:hAnsi="Helv"/>
          <w:color w:val="000000"/>
          <w:sz w:val="24"/>
          <w:szCs w:val="24"/>
          <w:lang w:val="eu-ES"/>
        </w:rPr>
        <w:t>Neurri horri esker, pausu bat gehiago eman nahi dugu behin eta berriz errepikatzen diren egoerei erantzuteko: altzariak eta edozein motatako objektuak edukiontzien ondoan uzten dira edozein egunetan eta edozein ordutan. Elementu horiek espaloiak okupatzen dituzte eta zirkulazioa oztopatzen dute. Kasu batzuetan, gainera, tamaina handiko hondakinak biltzeko udal zerbitzuak jaso behar ez dituen objektuak ere uzten dira bide publikoan.</w:t>
      </w:r>
    </w:p>
    <w:p>
      <w:pPr>
        <w:pStyle w:val="Normal"/>
        <w:jc w:val="both"/>
        <w:rPr>
          <w:rFonts w:ascii="Helv" w:hAnsi="Helv" w:cs="Helv"/>
          <w:color w:val="000000"/>
          <w:sz w:val="24"/>
        </w:rPr>
      </w:pPr>
      <w:r>
        <w:rPr>
          <w:rFonts w:cs="Helv" w:ascii="Helv" w:hAnsi="Helv"/>
          <w:color w:val="000000"/>
          <w:sz w:val="24"/>
        </w:rPr>
      </w:r>
    </w:p>
    <w:p>
      <w:pPr>
        <w:pStyle w:val="Normal"/>
        <w:jc w:val="both"/>
        <w:rPr>
          <w:rFonts w:ascii="Helv" w:hAnsi="Helv" w:cs="Helv"/>
          <w:color w:val="000000"/>
          <w:sz w:val="24"/>
        </w:rPr>
      </w:pPr>
      <w:r>
        <w:rPr>
          <w:rFonts w:eastAsia="Helv" w:cs="Helv" w:ascii="Helv" w:hAnsi="Helv"/>
          <w:color w:val="000000"/>
          <w:sz w:val="24"/>
          <w:szCs w:val="24"/>
          <w:lang w:val="eu-ES"/>
        </w:rPr>
        <w:t>Hiri Mantentze eta Zerbitzuetako zinegotzi ordezkari Iñigo García Villanuevak aditzera eman duenez, "Donostiak tamaina handiko hondakinak biltzeko zerbitzu antolatua du, egun eta ordutegi zehatzetan funtzionatzen duena. Ezinbestekoa da denok arau horiek ezagutu eta errespetatzea. Ezin dugu normalizatu altzariak, koltxoiak edo mota guztietako hondakinak, orduetan eta baita egunetan ere, edukiontzien ondoan egotea, egokia ez zen momentuan bertan utzi zirelako».</w:t>
      </w:r>
    </w:p>
    <w:p>
      <w:pPr>
        <w:pStyle w:val="Normal"/>
        <w:jc w:val="both"/>
        <w:rPr>
          <w:rFonts w:ascii="Helv" w:hAnsi="Helv" w:cs="Helv"/>
          <w:color w:val="000000"/>
          <w:sz w:val="24"/>
        </w:rPr>
      </w:pPr>
      <w:r>
        <w:rPr>
          <w:rFonts w:cs="Helv" w:ascii="Helv" w:hAnsi="Helv"/>
          <w:color w:val="000000"/>
          <w:sz w:val="24"/>
        </w:rPr>
      </w:r>
    </w:p>
    <w:p>
      <w:pPr>
        <w:pStyle w:val="Normal"/>
        <w:jc w:val="both"/>
        <w:rPr/>
      </w:pPr>
      <w:r>
        <w:rPr>
          <w:rFonts w:eastAsia="Helv" w:cs="Helv" w:ascii="Helv" w:hAnsi="Helv"/>
          <w:color w:val="000000"/>
          <w:sz w:val="24"/>
          <w:szCs w:val="24"/>
          <w:lang w:val="eu-ES"/>
        </w:rPr>
        <w:t>Bestalde, Herritarren Segurtasuneko, Suhiltzaileetako eta Babes Zibileko zinegotzi Martin Ibabek adierazi duenez, "edozein arau aplikatzen dugunean, beti uste dugu lehenengo tresnak informazioa ematea eta prebentziorako kontzientziazioa izan behar duela. Lan egingo dugu herritarrek ondo jakin dezaten zerbitzuak nola funtzionatzen duen eta argi izan dezaten araudia ez betetzeak beste faktore askori eragiten diela, baina, era berean, adi egongo gara eta, ez-betetzeak detektatzen ditugunean, neurriak hartuko ditugu. Arauek elkarbizitza ona bermatzea dute helburu eta, errespetatzen ez direnean, Ordenantzan aurreikusitako zehapenak aplikatuko ditugu, behar den zorroztasunarekin".</w:t>
      </w:r>
    </w:p>
    <w:p>
      <w:pPr>
        <w:pStyle w:val="Normal"/>
        <w:jc w:val="both"/>
        <w:rPr>
          <w:rFonts w:ascii="Helv" w:hAnsi="Helv" w:cs="Helv"/>
          <w:color w:val="000000"/>
          <w:sz w:val="24"/>
        </w:rPr>
      </w:pPr>
      <w:r>
        <w:rPr>
          <w:rFonts w:cs="Helv" w:ascii="Helv" w:hAnsi="Helv"/>
          <w:color w:val="000000"/>
          <w:sz w:val="24"/>
        </w:rPr>
      </w:r>
    </w:p>
    <w:p>
      <w:pPr>
        <w:pStyle w:val="Normal"/>
        <w:jc w:val="both"/>
        <w:rPr>
          <w:rFonts w:ascii="Helv" w:hAnsi="Helv" w:cs="Helv"/>
          <w:color w:val="000000"/>
          <w:sz w:val="24"/>
        </w:rPr>
      </w:pPr>
      <w:r>
        <w:rPr>
          <w:rFonts w:eastAsia="Helv" w:cs="Helv" w:ascii="Helv" w:hAnsi="Helv"/>
          <w:b/>
          <w:bCs/>
          <w:color w:val="000000"/>
          <w:sz w:val="24"/>
          <w:szCs w:val="24"/>
          <w:lang w:val="eu-ES"/>
        </w:rPr>
        <w:t>250 abisu egunero</w:t>
      </w:r>
    </w:p>
    <w:p>
      <w:pPr>
        <w:pStyle w:val="Normal"/>
        <w:jc w:val="both"/>
        <w:rPr>
          <w:rFonts w:ascii="Helv" w:hAnsi="Helv" w:cs="Helv"/>
          <w:color w:val="000000"/>
          <w:sz w:val="24"/>
        </w:rPr>
      </w:pPr>
      <w:r>
        <w:rPr>
          <w:rFonts w:cs="Helv" w:ascii="Helv" w:hAnsi="Helv"/>
          <w:color w:val="000000"/>
          <w:sz w:val="24"/>
        </w:rPr>
      </w:r>
    </w:p>
    <w:p>
      <w:pPr>
        <w:pStyle w:val="Normal"/>
        <w:jc w:val="both"/>
        <w:rPr>
          <w:rFonts w:ascii="Helv" w:hAnsi="Helv" w:cs="Helv"/>
          <w:color w:val="000000"/>
          <w:sz w:val="24"/>
        </w:rPr>
      </w:pPr>
      <w:r>
        <w:rPr>
          <w:rFonts w:eastAsia="Helv" w:cs="Helv" w:ascii="Helv" w:hAnsi="Helv"/>
          <w:color w:val="000000"/>
          <w:sz w:val="24"/>
          <w:szCs w:val="24"/>
          <w:lang w:val="eu-ES"/>
        </w:rPr>
        <w:t>Udalak emandako datuek egoeraren larria islatzen dute. Aurten, tamaina handiko hondakinen presentziari lotutako 47.645 abisu jaso dira, hau da, egunean 250 abisu inguru.</w:t>
      </w:r>
    </w:p>
    <w:p>
      <w:pPr>
        <w:pStyle w:val="Normal"/>
        <w:jc w:val="both"/>
        <w:rPr>
          <w:rFonts w:ascii="Helv" w:hAnsi="Helv" w:cs="Helv"/>
          <w:color w:val="000000"/>
          <w:sz w:val="24"/>
        </w:rPr>
      </w:pPr>
      <w:r>
        <w:rPr>
          <w:rFonts w:cs="Helv" w:ascii="Helv" w:hAnsi="Helv"/>
          <w:color w:val="000000"/>
          <w:sz w:val="24"/>
        </w:rPr>
      </w:r>
    </w:p>
    <w:p>
      <w:pPr>
        <w:pStyle w:val="Normal"/>
        <w:jc w:val="both"/>
        <w:rPr>
          <w:rFonts w:ascii="Helv" w:hAnsi="Helv" w:cs="Helv"/>
          <w:color w:val="000000"/>
          <w:sz w:val="24"/>
        </w:rPr>
      </w:pPr>
      <w:r>
        <w:rPr>
          <w:rFonts w:eastAsia="Helv" w:cs="Helv" w:ascii="Helv" w:hAnsi="Helv"/>
          <w:color w:val="000000"/>
          <w:sz w:val="24"/>
          <w:szCs w:val="24"/>
          <w:lang w:val="eu-ES"/>
        </w:rPr>
        <w:t>Gainera, botatako hondakinen % 20 baino gehiago Udal Ordenantzak ezarritako egunetatik kanpo botatzen dira, eta, hala, garbiketa-zerbitzuek hainbat gorabehera kudeatu behar izaten dituzte. Sistema behar bezala erabiliz gero, hori ez litzateke beharrezkoa izango.</w:t>
      </w:r>
    </w:p>
    <w:p>
      <w:pPr>
        <w:pStyle w:val="Normal"/>
        <w:jc w:val="both"/>
        <w:rPr>
          <w:rFonts w:ascii="Helv" w:hAnsi="Helv" w:cs="Helv"/>
          <w:color w:val="000000"/>
          <w:sz w:val="24"/>
        </w:rPr>
      </w:pPr>
      <w:r>
        <w:rPr>
          <w:rFonts w:cs="Helv" w:ascii="Helv" w:hAnsi="Helv"/>
          <w:color w:val="000000"/>
          <w:sz w:val="24"/>
        </w:rPr>
      </w:r>
    </w:p>
    <w:p>
      <w:pPr>
        <w:pStyle w:val="Normal"/>
        <w:jc w:val="both"/>
        <w:rPr>
          <w:rFonts w:ascii="Helv" w:hAnsi="Helv" w:cs="Helv"/>
          <w:color w:val="000000"/>
          <w:sz w:val="24"/>
        </w:rPr>
      </w:pPr>
      <w:r>
        <w:rPr>
          <w:rFonts w:eastAsia="Helv" w:cs="Helv" w:ascii="Helv" w:hAnsi="Helv"/>
          <w:color w:val="000000"/>
          <w:sz w:val="24"/>
          <w:szCs w:val="24"/>
          <w:lang w:val="eu-ES"/>
        </w:rPr>
        <w:t>2026ko abuztuaren 31ra arte, 1.521,40 tona hondakin handi bildu dira, hau da, 2025ean baino % 3,11 gehiago, epe berean. Kopuru horri beste 1.405.660 kilo gehitu behar zaizkio: obra-hondakin, igeltsu, kristal, teila, zeramika eta bestelako materialak, udal zerbitzuek edukiontzien ondotik kendu behar izan dituztenak, bai eta kontrolatu gabeko tokietan botatakoak ere.</w:t>
      </w:r>
    </w:p>
    <w:p>
      <w:pPr>
        <w:pStyle w:val="Normal"/>
        <w:jc w:val="both"/>
        <w:rPr>
          <w:rFonts w:ascii="Helv" w:hAnsi="Helv" w:cs="Helv"/>
          <w:color w:val="000000"/>
          <w:sz w:val="24"/>
        </w:rPr>
      </w:pPr>
      <w:r>
        <w:rPr>
          <w:rFonts w:cs="Helv" w:ascii="Helv" w:hAnsi="Helv"/>
          <w:color w:val="000000"/>
          <w:sz w:val="24"/>
        </w:rPr>
      </w:r>
    </w:p>
    <w:p>
      <w:pPr>
        <w:pStyle w:val="Normal"/>
        <w:jc w:val="both"/>
        <w:rPr>
          <w:rFonts w:ascii="Helv" w:hAnsi="Helv" w:cs="Helv"/>
          <w:color w:val="000000"/>
          <w:sz w:val="24"/>
        </w:rPr>
      </w:pPr>
      <w:r>
        <w:rPr>
          <w:rFonts w:eastAsia="Helv" w:cs="Helv" w:ascii="Helv" w:hAnsi="Helv"/>
          <w:b/>
          <w:bCs/>
          <w:color w:val="000000"/>
          <w:sz w:val="24"/>
          <w:szCs w:val="24"/>
          <w:lang w:val="eu-ES"/>
        </w:rPr>
        <w:t>Bide publikoa errespetatzea</w:t>
      </w:r>
    </w:p>
    <w:p>
      <w:pPr>
        <w:pStyle w:val="Normal"/>
        <w:jc w:val="both"/>
        <w:rPr>
          <w:rFonts w:ascii="Helv" w:hAnsi="Helv" w:cs="Helv"/>
          <w:color w:val="000000"/>
          <w:sz w:val="24"/>
        </w:rPr>
      </w:pPr>
      <w:r>
        <w:rPr>
          <w:rFonts w:cs="Helv" w:ascii="Helv" w:hAnsi="Helv"/>
          <w:color w:val="000000"/>
          <w:sz w:val="24"/>
        </w:rPr>
      </w:r>
    </w:p>
    <w:p>
      <w:pPr>
        <w:pStyle w:val="Normal"/>
        <w:jc w:val="both"/>
        <w:rPr>
          <w:rFonts w:ascii="Helv" w:hAnsi="Helv" w:cs="Helv"/>
          <w:color w:val="000000"/>
          <w:sz w:val="24"/>
        </w:rPr>
      </w:pPr>
      <w:r>
        <w:rPr>
          <w:rFonts w:eastAsia="Helv" w:cs="Helv" w:ascii="Helv" w:hAnsi="Helv"/>
          <w:color w:val="000000"/>
          <w:sz w:val="24"/>
          <w:szCs w:val="24"/>
          <w:lang w:val="eu-ES"/>
        </w:rPr>
        <w:t>García Villanuevak azaldu duenez, "behar ez bezala utzitako hondakin bakoitzaren atzean, udal zerbitzu batek esku hartu behar izaten du. Ez gara irudi-kontu batez soilik ari. Hondakin horiek, batzuetan, espaloiak okupatzen dituzte, pasatzea oztopatu, zikinkeria sortu eta baliabide publikoak erabiltzera behartu, guztiz saihesgarriak diren egoerak konpontzeko". Ildo horretan, adierazi du, 1.300 binilo horiekin, informazioa zuzenean eraman nahi dutela hondakinak botatzen diren lekura. "Gauzak erraztu nahi ditugu; eta, gainera, inork dezala esan ez dakiela nola funtzionatzen duen zerbitzuak. Baina, horrekin batera, erantzukizuna ere eskatu nahi dugu. Kalea eta edukiontzien ingurua ez dira edozein hondakin edozein momentutan uzteko lekua".</w:t>
      </w:r>
    </w:p>
    <w:p>
      <w:pPr>
        <w:pStyle w:val="Normal"/>
        <w:jc w:val="both"/>
        <w:rPr>
          <w:rFonts w:ascii="Helv" w:hAnsi="Helv" w:cs="Helv"/>
          <w:color w:val="000000"/>
          <w:sz w:val="24"/>
        </w:rPr>
      </w:pPr>
      <w:r>
        <w:rPr>
          <w:rFonts w:cs="Helv" w:ascii="Helv" w:hAnsi="Helv"/>
          <w:color w:val="000000"/>
          <w:sz w:val="24"/>
        </w:rPr>
      </w:r>
    </w:p>
    <w:p>
      <w:pPr>
        <w:pStyle w:val="Normal"/>
        <w:jc w:val="both"/>
        <w:rPr/>
      </w:pPr>
      <w:r>
        <w:rPr>
          <w:rFonts w:eastAsia="Helv" w:cs="Helv" w:ascii="Helv" w:hAnsi="Helv"/>
          <w:b/>
          <w:bCs/>
          <w:color w:val="000000"/>
          <w:sz w:val="24"/>
          <w:szCs w:val="24"/>
          <w:lang w:val="eu-ES"/>
        </w:rPr>
        <w:t>Zigorrak</w:t>
      </w:r>
    </w:p>
    <w:p>
      <w:pPr>
        <w:pStyle w:val="Normal"/>
        <w:jc w:val="both"/>
        <w:rPr>
          <w:rFonts w:ascii="Helv" w:hAnsi="Helv" w:cs="Helv"/>
          <w:color w:val="000000"/>
          <w:sz w:val="24"/>
        </w:rPr>
      </w:pPr>
      <w:r>
        <w:rPr>
          <w:rFonts w:cs="Helv" w:ascii="Helv" w:hAnsi="Helv"/>
          <w:color w:val="000000"/>
          <w:sz w:val="24"/>
        </w:rPr>
      </w:r>
    </w:p>
    <w:p>
      <w:pPr>
        <w:pStyle w:val="Normal"/>
        <w:jc w:val="both"/>
        <w:rPr/>
      </w:pPr>
      <w:r>
        <w:rPr>
          <w:rFonts w:eastAsia="Helv" w:cs="Helv" w:ascii="Helv" w:hAnsi="Helv"/>
          <w:color w:val="000000"/>
          <w:sz w:val="24"/>
          <w:szCs w:val="24"/>
          <w:lang w:val="eu-ES"/>
        </w:rPr>
        <w:t>Ez betetzeak 1.000 eurorainoko isunak ekar ditzake.</w:t>
      </w:r>
    </w:p>
    <w:p>
      <w:pPr>
        <w:pStyle w:val="Normal"/>
        <w:jc w:val="both"/>
        <w:rPr>
          <w:rFonts w:ascii="Helv" w:hAnsi="Helv" w:cs="Helv"/>
          <w:color w:val="000000"/>
          <w:sz w:val="24"/>
        </w:rPr>
      </w:pPr>
      <w:r>
        <w:rPr>
          <w:rFonts w:cs="Helv" w:ascii="Helv" w:hAnsi="Helv"/>
          <w:color w:val="000000"/>
          <w:sz w:val="24"/>
        </w:rPr>
      </w:r>
    </w:p>
    <w:p>
      <w:pPr>
        <w:pStyle w:val="Normal"/>
        <w:jc w:val="both"/>
        <w:rPr/>
      </w:pPr>
      <w:r>
        <w:rPr>
          <w:rFonts w:eastAsia="Helv" w:cs="Helv" w:ascii="Helv" w:hAnsi="Helv"/>
          <w:color w:val="000000"/>
          <w:sz w:val="24"/>
          <w:szCs w:val="24"/>
          <w:lang w:val="eu-ES"/>
        </w:rPr>
        <w:t>Udalak gogorarazi du altzariak eta tamaina handiko hondakinak botatzeko, Hiri Hondakinak Biltzeko Udal Ordenantza bete behar dela. 43. artikuluak zehazten du zer elementu utzi daitezkeen eta zer baldintzatan jarri behar diren edukiontzien ondoan; 44. artikuluak, berriz, hiriko alde bakoitzari dagozkion egunak ezartzen ditu, eta ordutegia finkatzen du: 21:30etik 22:30era.</w:t>
      </w:r>
    </w:p>
    <w:p>
      <w:pPr>
        <w:pStyle w:val="Normal"/>
        <w:jc w:val="both"/>
        <w:rPr/>
      </w:pPr>
      <w:r>
        <w:rPr/>
      </w:r>
    </w:p>
    <w:p>
      <w:pPr>
        <w:pStyle w:val="Normal"/>
        <w:jc w:val="both"/>
        <w:rPr>
          <w:rFonts w:ascii="Helv" w:hAnsi="Helv" w:eastAsia="Helv" w:cs="Helv"/>
          <w:color w:val="000000"/>
          <w:sz w:val="24"/>
          <w:szCs w:val="24"/>
          <w:lang w:val="eu-ES"/>
        </w:rPr>
      </w:pPr>
      <w:r>
        <w:rPr>
          <w:rFonts w:eastAsia="Helv" w:cs="Helv" w:ascii="Helv" w:hAnsi="Helv"/>
          <w:color w:val="000000"/>
          <w:sz w:val="24"/>
          <w:szCs w:val="24"/>
          <w:lang w:val="eu-ES"/>
        </w:rPr>
        <w:t>68. artikuluak arau-hauste larritzat jotzen du, altzariak edo tresnak botatzen direnean, Ordenantzaren 43, 44, 53 nahiz 54. artikuluetan ezarritakoa urratzea.</w:t>
      </w:r>
    </w:p>
    <w:p>
      <w:pPr>
        <w:pStyle w:val="Normal"/>
        <w:jc w:val="both"/>
        <w:rPr/>
      </w:pPr>
      <w:r>
        <w:rPr/>
      </w:r>
    </w:p>
    <w:p>
      <w:pPr>
        <w:pStyle w:val="Normal"/>
        <w:jc w:val="both"/>
        <w:rPr/>
      </w:pPr>
      <w:r>
        <w:rPr>
          <w:rFonts w:eastAsia="Helv" w:cs="Helv" w:ascii="Helv" w:hAnsi="Helv"/>
          <w:color w:val="000000"/>
          <w:sz w:val="24"/>
          <w:szCs w:val="24"/>
          <w:lang w:val="eu-ES"/>
        </w:rPr>
        <w:t>Bestalde, 69. artikuluak 501 eta 1.000 euro arteko isunak ezartzen ditu arau-hauste larrietarako. Gainera, arau-hausleak behartuta daude abandonatutako hondakinak kentzera eta zikindutako eremua garbitzera, dagokien zehapena gorabehera.</w:t>
      </w:r>
    </w:p>
    <w:p>
      <w:pPr>
        <w:pStyle w:val="Normal"/>
        <w:jc w:val="both"/>
        <w:rPr>
          <w:rFonts w:ascii="Helv" w:hAnsi="Helv" w:eastAsia="Helv" w:cs="Helv"/>
          <w:color w:val="000000"/>
          <w:sz w:val="24"/>
          <w:szCs w:val="24"/>
          <w:lang w:val="eu-ES"/>
        </w:rPr>
      </w:pPr>
      <w:r>
        <w:rPr/>
      </w:r>
    </w:p>
    <w:p>
      <w:pPr>
        <w:pStyle w:val="Normal"/>
        <w:jc w:val="both"/>
        <w:rPr/>
      </w:pPr>
      <w:r>
        <w:rPr>
          <w:rFonts w:eastAsia="Helv" w:cs="Helv" w:ascii="Helv" w:hAnsi="Helv"/>
          <w:color w:val="000000"/>
          <w:sz w:val="24"/>
          <w:szCs w:val="24"/>
          <w:lang w:val="eu-ES"/>
        </w:rPr>
        <w:t>Era berean, gogorarazten da bide publikoan utzitako tresnen artean berriro bilatzea debekatuta dagoela eta, era berean, zehagarria dela.</w:t>
      </w:r>
    </w:p>
    <w:p>
      <w:pPr>
        <w:pStyle w:val="Normal"/>
        <w:jc w:val="both"/>
        <w:rPr>
          <w:rFonts w:ascii="Helv" w:hAnsi="Helv" w:cs="Helv"/>
          <w:color w:val="000000"/>
          <w:sz w:val="24"/>
        </w:rPr>
      </w:pPr>
      <w:r>
        <w:rPr>
          <w:rFonts w:cs="Helv" w:ascii="Helv" w:hAnsi="Helv"/>
          <w:color w:val="000000"/>
          <w:sz w:val="24"/>
        </w:rPr>
      </w:r>
    </w:p>
    <w:p>
      <w:pPr>
        <w:pStyle w:val="Normal"/>
        <w:jc w:val="both"/>
        <w:rPr/>
      </w:pPr>
      <w:r>
        <w:rPr>
          <w:rFonts w:eastAsia="Helv" w:cs="Helv" w:ascii="Helv" w:hAnsi="Helv"/>
          <w:b/>
          <w:bCs/>
          <w:color w:val="000000"/>
          <w:sz w:val="24"/>
          <w:szCs w:val="24"/>
          <w:lang w:val="eu-ES"/>
        </w:rPr>
        <w:t>Egunak eta ordutegiak</w:t>
      </w:r>
    </w:p>
    <w:p>
      <w:pPr>
        <w:pStyle w:val="Normal"/>
        <w:jc w:val="both"/>
        <w:rPr>
          <w:rFonts w:ascii="Helv" w:hAnsi="Helv" w:cs="Helv"/>
          <w:color w:val="000000"/>
          <w:sz w:val="24"/>
        </w:rPr>
      </w:pPr>
      <w:r>
        <w:rPr>
          <w:rFonts w:cs="Helv" w:ascii="Helv" w:hAnsi="Helv"/>
          <w:color w:val="000000"/>
          <w:sz w:val="24"/>
        </w:rPr>
      </w:r>
    </w:p>
    <w:p>
      <w:pPr>
        <w:pStyle w:val="Normal"/>
        <w:jc w:val="both"/>
        <w:rPr>
          <w:rFonts w:ascii="Helv" w:hAnsi="Helv" w:cs="Helv"/>
          <w:color w:val="000000"/>
          <w:sz w:val="24"/>
        </w:rPr>
      </w:pPr>
      <w:r>
        <w:rPr>
          <w:rFonts w:eastAsia="Helv" w:cs="Helv" w:ascii="Helv" w:hAnsi="Helv"/>
          <w:color w:val="000000"/>
          <w:sz w:val="24"/>
          <w:szCs w:val="24"/>
          <w:lang w:val="eu-ES"/>
        </w:rPr>
        <w:t>Zerbitzuak altzariak, tresnak, koltxoiak eta somierrak, etxetresna elektrikoak, telebistak eta etxeko tresna elektriko eta elektroniko txikiak jasotzen ditu, eta, gero, sailkatu eta tratatzeko beste toki batera eramaten ditu.</w:t>
      </w:r>
    </w:p>
    <w:p>
      <w:pPr>
        <w:pStyle w:val="Normal"/>
        <w:jc w:val="both"/>
        <w:rPr>
          <w:rFonts w:ascii="Helv" w:hAnsi="Helv" w:cs="Helv"/>
          <w:color w:val="000000"/>
          <w:sz w:val="24"/>
        </w:rPr>
      </w:pPr>
      <w:r>
        <w:rPr>
          <w:rFonts w:cs="Helv" w:ascii="Helv" w:hAnsi="Helv"/>
          <w:color w:val="000000"/>
          <w:sz w:val="24"/>
        </w:rPr>
      </w:r>
    </w:p>
    <w:p>
      <w:pPr>
        <w:pStyle w:val="Normal"/>
        <w:jc w:val="both"/>
        <w:rPr>
          <w:rFonts w:ascii="Helv" w:hAnsi="Helv" w:cs="Helv"/>
          <w:color w:val="000000"/>
          <w:sz w:val="24"/>
        </w:rPr>
      </w:pPr>
      <w:r>
        <w:rPr>
          <w:rFonts w:eastAsia="Helv" w:cs="Helv" w:ascii="Helv" w:hAnsi="Helv"/>
          <w:color w:val="000000"/>
          <w:sz w:val="24"/>
          <w:szCs w:val="24"/>
          <w:lang w:val="eu-ES"/>
        </w:rPr>
        <w:t>Bilketa antolatzeko, Donostia bi eremutan banatuta dago:</w:t>
      </w:r>
    </w:p>
    <w:p>
      <w:pPr>
        <w:pStyle w:val="Normal"/>
        <w:jc w:val="both"/>
        <w:rPr>
          <w:rFonts w:ascii="Helv" w:hAnsi="Helv" w:cs="Helv"/>
          <w:color w:val="000000"/>
          <w:sz w:val="24"/>
        </w:rPr>
      </w:pPr>
      <w:r>
        <w:rPr>
          <w:rFonts w:cs="Helv" w:ascii="Helv" w:hAnsi="Helv"/>
          <w:color w:val="000000"/>
          <w:sz w:val="24"/>
        </w:rPr>
      </w:r>
    </w:p>
    <w:p>
      <w:pPr>
        <w:pStyle w:val="Normal"/>
        <w:numPr>
          <w:ilvl w:val="0"/>
          <w:numId w:val="1"/>
        </w:numPr>
        <w:jc w:val="both"/>
        <w:rPr>
          <w:rFonts w:ascii="Helv" w:hAnsi="Helv" w:cs="Helv"/>
          <w:color w:val="000000"/>
          <w:sz w:val="24"/>
        </w:rPr>
      </w:pPr>
      <w:r>
        <w:rPr>
          <w:rFonts w:eastAsia="Helv" w:cs="Helv" w:ascii="Helv" w:hAnsi="Helv"/>
          <w:color w:val="000000"/>
          <w:sz w:val="24"/>
          <w:szCs w:val="24"/>
          <w:lang w:val="eu-ES"/>
        </w:rPr>
        <w:t>Ekialdean, tamaina handiko hondakinak igande, astearte eta ostegunetan utz daitezke.</w:t>
      </w:r>
    </w:p>
    <w:p>
      <w:pPr>
        <w:pStyle w:val="Normal"/>
        <w:numPr>
          <w:ilvl w:val="0"/>
          <w:numId w:val="1"/>
        </w:numPr>
        <w:jc w:val="both"/>
        <w:rPr>
          <w:rFonts w:ascii="Helv" w:hAnsi="Helv" w:cs="Helv"/>
          <w:color w:val="000000"/>
          <w:sz w:val="24"/>
        </w:rPr>
      </w:pPr>
      <w:r>
        <w:rPr>
          <w:rFonts w:eastAsia="Helv" w:cs="Helv" w:ascii="Helv" w:hAnsi="Helv"/>
          <w:color w:val="000000"/>
          <w:sz w:val="24"/>
          <w:szCs w:val="24"/>
          <w:lang w:val="eu-ES"/>
        </w:rPr>
        <w:t>Mendebaldean, berriz, astelehen, asteazken eta ostiraletan.</w:t>
      </w:r>
    </w:p>
    <w:p>
      <w:pPr>
        <w:pStyle w:val="Normal"/>
        <w:jc w:val="both"/>
        <w:rPr>
          <w:rFonts w:ascii="Helv" w:hAnsi="Helv" w:cs="Helv"/>
          <w:color w:val="000000"/>
          <w:sz w:val="24"/>
        </w:rPr>
      </w:pPr>
      <w:r>
        <w:rPr>
          <w:rFonts w:cs="Helv" w:ascii="Helv" w:hAnsi="Helv"/>
          <w:color w:val="000000"/>
          <w:sz w:val="24"/>
        </w:rPr>
      </w:r>
    </w:p>
    <w:p>
      <w:pPr>
        <w:pStyle w:val="Normal"/>
        <w:jc w:val="both"/>
        <w:rPr>
          <w:rFonts w:ascii="Helv" w:hAnsi="Helv" w:eastAsia="Helv" w:cs="Helv"/>
          <w:color w:val="000000"/>
          <w:sz w:val="24"/>
          <w:szCs w:val="24"/>
          <w:lang w:val="eu-ES"/>
        </w:rPr>
      </w:pPr>
      <w:r>
        <w:rPr>
          <w:rFonts w:eastAsia="Helv" w:cs="Helv" w:ascii="Helv" w:hAnsi="Helv"/>
          <w:color w:val="000000"/>
          <w:sz w:val="24"/>
          <w:szCs w:val="24"/>
          <w:lang w:val="eu-ES"/>
        </w:rPr>
        <w:t>Bi kasuotan, ordutegia 21:30etik 22:30era da bakarrik. Hondakinak ezin dira larunbatetan utzi, ezta abenduaren 24an eta 31n ere. Udal bilketa hurrengo egunean egiten da.</w:t>
      </w:r>
    </w:p>
    <w:p>
      <w:pPr>
        <w:pStyle w:val="Normal"/>
        <w:jc w:val="both"/>
        <w:rPr>
          <w:rFonts w:ascii="Helv" w:hAnsi="Helv" w:cs="Helv"/>
          <w:color w:val="000000"/>
          <w:sz w:val="24"/>
        </w:rPr>
      </w:pPr>
      <w:r>
        <w:rPr>
          <w:rFonts w:cs="Helv" w:ascii="Helv" w:hAnsi="Helv"/>
          <w:color w:val="000000"/>
          <w:sz w:val="24"/>
        </w:rPr>
      </w:r>
    </w:p>
    <w:p>
      <w:pPr>
        <w:pStyle w:val="Normal"/>
        <w:jc w:val="both"/>
        <w:rPr>
          <w:rFonts w:ascii="Helv" w:hAnsi="Helv" w:cs="Helv"/>
          <w:color w:val="000000"/>
          <w:sz w:val="24"/>
        </w:rPr>
      </w:pPr>
      <w:r>
        <w:rPr>
          <w:rFonts w:eastAsia="Helv" w:cs="Helv" w:ascii="Helv" w:hAnsi="Helv"/>
          <w:color w:val="000000"/>
          <w:sz w:val="24"/>
          <w:szCs w:val="24"/>
          <w:lang w:val="eu-ES"/>
        </w:rPr>
        <w:t>Altzariak eta tresnak hondakinen edukiontzi komun edo orokorraren ondoan jarri behar dira, oinezkoen pasaera eta ibilgailuen zirkulazioa oztopatu gabe, eta ahalik eta eragozpen gutxien eraginez. Garbiguneetara ere eraman daitezke zuzenean.</w:t>
      </w:r>
    </w:p>
    <w:p>
      <w:pPr>
        <w:pStyle w:val="Normal"/>
        <w:jc w:val="both"/>
        <w:rPr>
          <w:rFonts w:ascii="Helv" w:hAnsi="Helv" w:cs="Helv"/>
          <w:color w:val="000000"/>
          <w:sz w:val="24"/>
        </w:rPr>
      </w:pPr>
      <w:r>
        <w:rPr>
          <w:rFonts w:cs="Helv" w:ascii="Helv" w:hAnsi="Helv"/>
          <w:color w:val="000000"/>
          <w:sz w:val="24"/>
        </w:rPr>
      </w:r>
    </w:p>
    <w:p>
      <w:pPr>
        <w:pStyle w:val="Normal"/>
        <w:jc w:val="both"/>
        <w:rPr>
          <w:rFonts w:ascii="Helv" w:hAnsi="Helv" w:cs="Helv"/>
          <w:b/>
          <w:bCs/>
          <w:color w:val="000000"/>
          <w:sz w:val="24"/>
        </w:rPr>
      </w:pPr>
      <w:r>
        <w:rPr>
          <w:rFonts w:eastAsia="Helv" w:cs="Helv" w:ascii="Helv" w:hAnsi="Helv"/>
          <w:b/>
          <w:bCs/>
          <w:color w:val="000000"/>
          <w:sz w:val="24"/>
          <w:szCs w:val="24"/>
          <w:lang w:val="eu-ES"/>
        </w:rPr>
        <w:t>Dena ezin da edukiontzien ondoan utzi</w:t>
      </w:r>
    </w:p>
    <w:p>
      <w:pPr>
        <w:pStyle w:val="Normal"/>
        <w:jc w:val="both"/>
        <w:rPr>
          <w:rFonts w:ascii="Helv" w:hAnsi="Helv" w:cs="Helv"/>
          <w:b/>
          <w:bCs/>
          <w:color w:val="000000"/>
          <w:sz w:val="24"/>
        </w:rPr>
      </w:pPr>
      <w:r>
        <w:rPr>
          <w:rFonts w:cs="Helv" w:ascii="Helv" w:hAnsi="Helv"/>
          <w:b/>
          <w:bCs/>
          <w:color w:val="000000"/>
          <w:sz w:val="24"/>
        </w:rPr>
      </w:r>
    </w:p>
    <w:p>
      <w:pPr>
        <w:pStyle w:val="Normal"/>
        <w:jc w:val="both"/>
        <w:rPr>
          <w:rFonts w:ascii="Helv" w:hAnsi="Helv" w:cs="Helv"/>
          <w:color w:val="000000"/>
          <w:sz w:val="24"/>
        </w:rPr>
      </w:pPr>
      <w:r>
        <w:rPr>
          <w:rFonts w:eastAsia="Helv" w:cs="Helv" w:ascii="Helv" w:hAnsi="Helv"/>
          <w:color w:val="000000"/>
          <w:sz w:val="24"/>
          <w:szCs w:val="24"/>
          <w:lang w:val="eu-ES"/>
        </w:rPr>
        <w:t>Udalak gogorarazi du, gainera, tamaina handiko hondakinak biltzeko zerbitzua ezin dela erabili edozein hondakin mota botatzeko. Ordenantzak sistema horretatik kanpo uzten ditu, besteak beste, etxeko obra eta berrikuntzetatik datozen hondakin jakin batzuk, hala nola obra-hondakinak, zurak, leiho eta ateen markoak, pertsianak, oholtzak, zoruak, moketak, bainuontziak, komunak, konketak, sukaldeko altzariak eta erradiadoreak.</w:t>
      </w:r>
    </w:p>
    <w:p>
      <w:pPr>
        <w:pStyle w:val="Normal"/>
        <w:jc w:val="both"/>
        <w:rPr>
          <w:rFonts w:ascii="Helv" w:hAnsi="Helv" w:cs="Helv"/>
          <w:color w:val="000000"/>
          <w:sz w:val="24"/>
        </w:rPr>
      </w:pPr>
      <w:r>
        <w:rPr>
          <w:rFonts w:cs="Helv" w:ascii="Helv" w:hAnsi="Helv"/>
          <w:color w:val="000000"/>
          <w:sz w:val="24"/>
        </w:rPr>
      </w:r>
    </w:p>
    <w:p>
      <w:pPr>
        <w:pStyle w:val="Normal"/>
        <w:jc w:val="both"/>
        <w:rPr>
          <w:rFonts w:ascii="Helv" w:hAnsi="Helv" w:cs="Helv"/>
          <w:color w:val="000000"/>
          <w:sz w:val="24"/>
        </w:rPr>
      </w:pPr>
      <w:r>
        <w:rPr>
          <w:rFonts w:eastAsia="Helv" w:cs="Helv" w:ascii="Helv" w:hAnsi="Helv"/>
          <w:color w:val="000000"/>
          <w:sz w:val="24"/>
          <w:szCs w:val="24"/>
          <w:lang w:val="eu-ES"/>
        </w:rPr>
        <w:t>Ez dira sartzen, ezta ere, merkataritza-jardueretatik datozen altzariak eta bilgarriak, ez eta etxe-aldaketetatik edo altzari-horniketa berrietatik eratorritakoak ere, araudian jasotako kasuetan. Horiek kentzeko bide espezifikoak daude.</w:t>
      </w:r>
      <w:bookmarkStart w:id="0" w:name="_GoBack"/>
      <w:bookmarkEnd w:id="0"/>
    </w:p>
    <w:p>
      <w:pPr>
        <w:pStyle w:val="Normal"/>
        <w:jc w:val="both"/>
        <w:rPr>
          <w:rFonts w:ascii="Helv" w:hAnsi="Helv" w:cs="Helv"/>
          <w:color w:val="000000"/>
          <w:sz w:val="24"/>
        </w:rPr>
      </w:pPr>
      <w:r>
        <w:rPr>
          <w:rFonts w:cs="Helv" w:ascii="Helv" w:hAnsi="Helv"/>
          <w:color w:val="000000"/>
          <w:sz w:val="24"/>
        </w:rPr>
      </w:r>
    </w:p>
    <w:p>
      <w:pPr>
        <w:pStyle w:val="Normal"/>
        <w:jc w:val="both"/>
        <w:rPr>
          <w:rFonts w:ascii="Helv" w:hAnsi="Helv" w:cs="Helv"/>
          <w:color w:val="000000"/>
          <w:sz w:val="24"/>
        </w:rPr>
      </w:pPr>
      <w:r>
        <w:rPr/>
      </w:r>
    </w:p>
    <w:p>
      <w:pPr>
        <w:pStyle w:val="Normal"/>
        <w:jc w:val="both"/>
        <w:rPr/>
      </w:pPr>
      <w:r>
        <w:rPr/>
      </w:r>
    </w:p>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01" w:right="1701" w:gutter="0" w:header="709" w:top="2410" w:footer="720" w:bottom="1418"/>
      <w:pgNumType w:fmt="decimal"/>
      <w:formProt w:val="false"/>
      <w:textDirection w:val="lrTb"/>
      <w:docGrid w:type="default" w:linePitch="36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OpenSymbol">
    <w:altName w:val="Arial Unicode MS"/>
    <w:charset w:val="00"/>
    <w:family w:val="roman"/>
    <w:pitch w:val="variable"/>
  </w:font>
  <w:font w:name="Liberation Sans">
    <w:altName w:val="Arial"/>
    <w:charset w:val="00"/>
    <w:family w:val="swiss"/>
    <w:pitch w:val="variable"/>
  </w:font>
  <w:font w:name="Liberation Sans">
    <w:altName w:val="Arial"/>
    <w:charset w:val="00"/>
    <w:family w:val="roman"/>
    <w:pitch w:val="variable"/>
  </w:font>
  <w:font w:name="Arial">
    <w:charset w:val="00"/>
    <w:family w:val="roman"/>
    <w:pitch w:val="variable"/>
  </w:font>
  <w:font w:name="Helv">
    <w:altName w:val="Arial"/>
    <w:charset w:val="00"/>
    <w:family w:val="roman"/>
    <w:pitch w:val="variable"/>
  </w:font>
  <w:font w:name="OpenSymbol">
    <w:altName w:val="Arial Unicode MS"/>
    <w:charset w:val="01"/>
    <w:family w:val="auto"/>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lang w:eastAsia="es-ES"/>
      </w:rPr>
    </w:pPr>
    <w:r>
      <w:rPr>
        <w:lang w:eastAsia="es-ES"/>
      </w:rPr>
      <w:drawing>
        <wp:anchor behindDoc="1" distT="0" distB="0" distL="0" distR="0" simplePos="0" locked="0" layoutInCell="1" allowOverlap="1" relativeHeight="4">
          <wp:simplePos x="0" y="0"/>
          <wp:positionH relativeFrom="column">
            <wp:posOffset>-1371600</wp:posOffset>
          </wp:positionH>
          <wp:positionV relativeFrom="paragraph">
            <wp:posOffset>-447675</wp:posOffset>
          </wp:positionV>
          <wp:extent cx="7552055" cy="1276350"/>
          <wp:effectExtent l="0" t="0" r="0" b="0"/>
          <wp:wrapNone/>
          <wp:docPr id="1" name="Imagen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
                  <pic:cNvPicPr>
                    <a:picLocks noChangeAspect="1" noChangeArrowheads="1"/>
                  </pic:cNvPicPr>
                </pic:nvPicPr>
                <pic:blipFill>
                  <a:blip r:embed="rId1"/>
                  <a:srcRect l="-31" t="-191" r="-31" b="-191"/>
                  <a:stretch>
                    <a:fillRect/>
                  </a:stretch>
                </pic:blipFill>
                <pic:spPr bwMode="auto">
                  <a:xfrm>
                    <a:off x="0" y="0"/>
                    <a:ext cx="7552055" cy="1276350"/>
                  </a:xfrm>
                  <a:prstGeom prst="rect">
                    <a:avLst/>
                  </a:prstGeom>
                </pic:spPr>
              </pic:pic>
            </a:graphicData>
          </a:graphic>
        </wp:anchor>
      </w:drawing>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lang w:eastAsia="es-ES"/>
      </w:rPr>
    </w:pPr>
    <w:r>
      <w:rPr>
        <w:lang w:eastAsia="es-ES"/>
      </w:rPr>
      <w:drawing>
        <wp:anchor behindDoc="1" distT="0" distB="0" distL="0" distR="0" simplePos="0" locked="0" layoutInCell="1" allowOverlap="1" relativeHeight="4">
          <wp:simplePos x="0" y="0"/>
          <wp:positionH relativeFrom="column">
            <wp:posOffset>-1371600</wp:posOffset>
          </wp:positionH>
          <wp:positionV relativeFrom="paragraph">
            <wp:posOffset>-447675</wp:posOffset>
          </wp:positionV>
          <wp:extent cx="7552055" cy="1276350"/>
          <wp:effectExtent l="0" t="0" r="0" b="0"/>
          <wp:wrapNone/>
          <wp:docPr id="2" name="Imagen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1" descr=""/>
                  <pic:cNvPicPr>
                    <a:picLocks noChangeAspect="1" noChangeArrowheads="1"/>
                  </pic:cNvPicPr>
                </pic:nvPicPr>
                <pic:blipFill>
                  <a:blip r:embed="rId1"/>
                  <a:srcRect l="-31" t="-191" r="-31" b="-191"/>
                  <a:stretch>
                    <a:fillRect/>
                  </a:stretch>
                </pic:blipFill>
                <pic:spPr bwMode="auto">
                  <a:xfrm>
                    <a:off x="0" y="0"/>
                    <a:ext cx="7552055" cy="1276350"/>
                  </a:xfrm>
                  <a:prstGeom prst="rect">
                    <a:avLst/>
                  </a:prstGeom>
                </pic:spPr>
              </pic:pic>
            </a:graphicData>
          </a:graphic>
        </wp:anchor>
      </w:drawing>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720"/>
        </w:tabs>
        <w:ind w:left="720" w:hanging="360"/>
      </w:pPr>
      <w:rPr>
        <w:rFonts w:ascii="Symbol" w:hAnsi="Symbol" w:cs="Symbol" w:hint="default"/>
      </w:rPr>
    </w:lvl>
    <w:lvl w:ilvl="1">
      <w:start w:val="1"/>
      <w:numFmt w:val="bullet"/>
      <w:lvlText w:val="◦"/>
      <w:lvlJc w:val="left"/>
      <w:pPr>
        <w:tabs>
          <w:tab w:val="num" w:pos="1080"/>
        </w:tabs>
        <w:ind w:left="1080" w:hanging="360"/>
      </w:pPr>
      <w:rPr>
        <w:rFonts w:ascii="OpenSymbol" w:hAnsi="OpenSymbol" w:cs="OpenSymbol" w:hint="default"/>
      </w:rPr>
    </w:lvl>
    <w:lvl w:ilvl="2">
      <w:start w:val="1"/>
      <w:numFmt w:val="bullet"/>
      <w:lvlText w:val="▪"/>
      <w:lvlJc w:val="left"/>
      <w:pPr>
        <w:tabs>
          <w:tab w:val="num" w:pos="1440"/>
        </w:tabs>
        <w:ind w:left="1440" w:hanging="360"/>
      </w:pPr>
      <w:rPr>
        <w:rFonts w:ascii="OpenSymbol" w:hAnsi="OpenSymbol" w:cs="OpenSymbol" w:hint="default"/>
      </w:rPr>
    </w:lvl>
    <w:lvl w:ilvl="3">
      <w:start w:val="1"/>
      <w:numFmt w:val="bullet"/>
      <w:lvlText w:val=""/>
      <w:lvlJc w:val="left"/>
      <w:pPr>
        <w:tabs>
          <w:tab w:val="num" w:pos="1800"/>
        </w:tabs>
        <w:ind w:left="1800" w:hanging="360"/>
      </w:pPr>
      <w:rPr>
        <w:rFonts w:ascii="Symbol" w:hAnsi="Symbol" w:cs="Symbol" w:hint="default"/>
      </w:rPr>
    </w:lvl>
    <w:lvl w:ilvl="4">
      <w:start w:val="1"/>
      <w:numFmt w:val="bullet"/>
      <w:lvlText w:val="◦"/>
      <w:lvlJc w:val="left"/>
      <w:pPr>
        <w:tabs>
          <w:tab w:val="num" w:pos="2160"/>
        </w:tabs>
        <w:ind w:left="2160" w:hanging="360"/>
      </w:pPr>
      <w:rPr>
        <w:rFonts w:ascii="OpenSymbol" w:hAnsi="OpenSymbol" w:cs="OpenSymbol" w:hint="default"/>
      </w:rPr>
    </w:lvl>
    <w:lvl w:ilvl="5">
      <w:start w:val="1"/>
      <w:numFmt w:val="bullet"/>
      <w:lvlText w:val="▪"/>
      <w:lvlJc w:val="left"/>
      <w:pPr>
        <w:tabs>
          <w:tab w:val="num" w:pos="2520"/>
        </w:tabs>
        <w:ind w:left="2520" w:hanging="360"/>
      </w:pPr>
      <w:rPr>
        <w:rFonts w:ascii="OpenSymbol" w:hAnsi="OpenSymbol" w:cs="OpenSymbol" w:hint="default"/>
      </w:rPr>
    </w:lvl>
    <w:lvl w:ilvl="6">
      <w:start w:val="1"/>
      <w:numFmt w:val="bullet"/>
      <w:lvlText w:val=""/>
      <w:lvlJc w:val="left"/>
      <w:pPr>
        <w:tabs>
          <w:tab w:val="num" w:pos="2880"/>
        </w:tabs>
        <w:ind w:left="2880" w:hanging="360"/>
      </w:pPr>
      <w:rPr>
        <w:rFonts w:ascii="Symbol" w:hAnsi="Symbol" w:cs="Symbol" w:hint="default"/>
      </w:rPr>
    </w:lvl>
    <w:lvl w:ilvl="7">
      <w:start w:val="1"/>
      <w:numFmt w:val="bullet"/>
      <w:lvlText w:val="◦"/>
      <w:lvlJc w:val="left"/>
      <w:pPr>
        <w:tabs>
          <w:tab w:val="num" w:pos="3240"/>
        </w:tabs>
        <w:ind w:left="3240" w:hanging="360"/>
      </w:pPr>
      <w:rPr>
        <w:rFonts w:ascii="OpenSymbol" w:hAnsi="OpenSymbol" w:cs="OpenSymbol" w:hint="default"/>
      </w:rPr>
    </w:lvl>
    <w:lvl w:ilvl="8">
      <w:start w:val="1"/>
      <w:numFmt w:val="bullet"/>
      <w:lvlText w:val="▪"/>
      <w:lvlJc w:val="left"/>
      <w:pPr>
        <w:tabs>
          <w:tab w:val="num" w:pos="3600"/>
        </w:tabs>
        <w:ind w:left="3600" w:hanging="360"/>
      </w:pPr>
      <w:rPr>
        <w:rFonts w:ascii="OpenSymbol" w:hAnsi="OpenSymbol" w:cs="OpenSymbol" w:hint="default"/>
      </w:r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20"/>
  <w:displayBackgroundShape/>
  <w:embedSystemFonts/>
  <w:defaultTabStop w:val="708"/>
  <w:autoHyphenation w:val="true"/>
  <w:hyphenationZone w:val="425"/>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es-E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s-ES" w:eastAsia="es-ES" w:bidi="ar-SA"/>
      </w:rPr>
    </w:rPrDefault>
    <w:pPrDefault>
      <w:pPr>
        <w:suppressAutoHyphens w:val="true"/>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styleId="Normal" w:default="1">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eastAsia="zh-CN" w:val="es-ES" w:bidi="ar-SA"/>
    </w:rPr>
  </w:style>
  <w:style w:type="character" w:styleId="DefaultParagraphFont" w:default="1">
    <w:name w:val="Default Paragraph Font"/>
    <w:uiPriority w:val="1"/>
    <w:semiHidden/>
    <w:unhideWhenUsed/>
    <w:qFormat/>
    <w:rPr/>
  </w:style>
  <w:style w:type="character" w:styleId="Fuentedeprrafopredeter2" w:customStyle="1">
    <w:name w:val="Fuente de párrafo predeter.2"/>
    <w:qFormat/>
    <w:rPr/>
  </w:style>
  <w:style w:type="character" w:styleId="Fuentedeprrafopredeter1" w:customStyle="1">
    <w:name w:val="Fuente de párrafo predeter.1"/>
    <w:qFormat/>
    <w:rPr/>
  </w:style>
  <w:style w:type="character" w:styleId="Strong">
    <w:name w:val="Strong"/>
    <w:qFormat/>
    <w:rPr>
      <w:b/>
      <w:bCs/>
    </w:rPr>
  </w:style>
  <w:style w:type="character" w:styleId="Bolos" w:customStyle="1">
    <w:name w:val="Bolos"/>
    <w:qFormat/>
    <w:rPr>
      <w:rFonts w:ascii="OpenSymbol" w:hAnsi="OpenSymbol" w:eastAsia="OpenSymbol" w:cs="OpenSymbol"/>
    </w:rPr>
  </w:style>
  <w:style w:type="paragraph" w:styleId="Ttulo">
    <w:name w:val="Títu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before="0" w:after="120"/>
    </w:pPr>
    <w:rPr/>
  </w:style>
  <w:style w:type="paragraph" w:styleId="List">
    <w:name w:val="List"/>
    <w:basedOn w:val="BodyText"/>
    <w:pPr/>
    <w:rPr>
      <w:rFonts w:cs="Mangal"/>
    </w:rPr>
  </w:style>
  <w:style w:type="paragraph" w:styleId="Caption">
    <w:name w:val="Caption"/>
    <w:basedOn w:val="Normal"/>
    <w:qFormat/>
    <w:pPr>
      <w:suppressLineNumbers/>
      <w:spacing w:before="120" w:after="120"/>
    </w:pPr>
    <w:rPr>
      <w:rFonts w:cs="Arial"/>
      <w:i/>
      <w:iCs/>
      <w:sz w:val="24"/>
      <w:szCs w:val="24"/>
    </w:rPr>
  </w:style>
  <w:style w:type="paragraph" w:styleId="ndice" w:customStyle="1">
    <w:name w:val="Índice"/>
    <w:basedOn w:val="Normal"/>
    <w:qFormat/>
    <w:pPr>
      <w:suppressLineNumbers/>
    </w:pPr>
    <w:rPr>
      <w:rFonts w:cs="Arial"/>
    </w:rPr>
  </w:style>
  <w:style w:type="paragraph" w:styleId="Ttulo1" w:customStyle="1">
    <w:name w:val="Título1"/>
    <w:basedOn w:val="Normal"/>
    <w:next w:val="BodyText"/>
    <w:qFormat/>
    <w:pPr>
      <w:keepNext w:val="true"/>
      <w:spacing w:before="240" w:after="120"/>
    </w:pPr>
    <w:rPr>
      <w:rFonts w:ascii="Liberation Sans" w:hAnsi="Liberation Sans" w:eastAsia="Microsoft YaHei" w:cs="Arial"/>
      <w:sz w:val="28"/>
      <w:szCs w:val="28"/>
    </w:rPr>
  </w:style>
  <w:style w:type="paragraph" w:styleId="Caption1" w:customStyle="1">
    <w:name w:val="Caption1"/>
    <w:basedOn w:val="Normal"/>
    <w:qFormat/>
    <w:pPr>
      <w:suppressLineNumbers/>
      <w:spacing w:before="120" w:after="120"/>
    </w:pPr>
    <w:rPr>
      <w:rFonts w:cs="Arial"/>
      <w:i/>
      <w:iCs/>
      <w:sz w:val="24"/>
      <w:szCs w:val="24"/>
    </w:rPr>
  </w:style>
  <w:style w:type="paragraph" w:styleId="Caption11" w:customStyle="1">
    <w:name w:val="Caption11"/>
    <w:basedOn w:val="Normal"/>
    <w:qFormat/>
    <w:pPr>
      <w:suppressLineNumbers/>
      <w:spacing w:before="120" w:after="120"/>
    </w:pPr>
    <w:rPr>
      <w:rFonts w:cs="Arial"/>
      <w:i/>
      <w:iCs/>
      <w:sz w:val="24"/>
      <w:szCs w:val="24"/>
    </w:rPr>
  </w:style>
  <w:style w:type="paragraph" w:styleId="Caption111" w:customStyle="1">
    <w:name w:val="Caption111"/>
    <w:basedOn w:val="Normal"/>
    <w:qFormat/>
    <w:pPr>
      <w:suppressLineNumbers/>
      <w:spacing w:before="120" w:after="120"/>
    </w:pPr>
    <w:rPr>
      <w:rFonts w:cs="Arial"/>
      <w:i/>
      <w:iCs/>
      <w:sz w:val="24"/>
      <w:szCs w:val="24"/>
    </w:rPr>
  </w:style>
  <w:style w:type="paragraph" w:styleId="Caption1111" w:customStyle="1">
    <w:name w:val="Caption1111"/>
    <w:basedOn w:val="Normal"/>
    <w:qFormat/>
    <w:pPr>
      <w:suppressLineNumbers/>
      <w:spacing w:before="120" w:after="120"/>
    </w:pPr>
    <w:rPr>
      <w:rFonts w:cs="Arial"/>
      <w:i/>
      <w:iCs/>
      <w:sz w:val="24"/>
      <w:szCs w:val="24"/>
    </w:rPr>
  </w:style>
  <w:style w:type="paragraph" w:styleId="Caption11111" w:customStyle="1">
    <w:name w:val="Caption11111"/>
    <w:basedOn w:val="Normal"/>
    <w:qFormat/>
    <w:pPr>
      <w:suppressLineNumbers/>
      <w:spacing w:before="120" w:after="120"/>
    </w:pPr>
    <w:rPr>
      <w:rFonts w:cs="Arial"/>
      <w:i/>
      <w:iCs/>
      <w:sz w:val="24"/>
      <w:szCs w:val="24"/>
    </w:rPr>
  </w:style>
  <w:style w:type="paragraph" w:styleId="Izenburua" w:customStyle="1">
    <w:name w:val="Izenburua"/>
    <w:basedOn w:val="Normal"/>
    <w:next w:val="BodyText"/>
    <w:qFormat/>
    <w:pPr>
      <w:keepNext w:val="true"/>
      <w:spacing w:before="240" w:after="120"/>
    </w:pPr>
    <w:rPr>
      <w:rFonts w:ascii="Arial" w:hAnsi="Arial" w:eastAsia="Microsoft YaHei" w:cs="Mangal"/>
      <w:sz w:val="28"/>
      <w:szCs w:val="28"/>
    </w:rPr>
  </w:style>
  <w:style w:type="paragraph" w:styleId="Caption111111" w:customStyle="1">
    <w:name w:val="Caption111111"/>
    <w:basedOn w:val="Normal"/>
    <w:qFormat/>
    <w:pPr>
      <w:suppressLineNumbers/>
      <w:spacing w:before="120" w:after="120"/>
    </w:pPr>
    <w:rPr>
      <w:rFonts w:cs="Arial"/>
      <w:i/>
      <w:iCs/>
      <w:sz w:val="24"/>
      <w:szCs w:val="24"/>
    </w:rPr>
  </w:style>
  <w:style w:type="paragraph" w:styleId="Indizea" w:customStyle="1">
    <w:name w:val="Indizea"/>
    <w:basedOn w:val="Normal"/>
    <w:qFormat/>
    <w:pPr>
      <w:suppressLineNumbers/>
    </w:pPr>
    <w:rPr>
      <w:rFonts w:cs="Mangal"/>
    </w:rPr>
  </w:style>
  <w:style w:type="paragraph" w:styleId="Caption1111111" w:customStyle="1">
    <w:name w:val="Caption1111111"/>
    <w:basedOn w:val="Normal"/>
    <w:qFormat/>
    <w:pPr>
      <w:suppressLineNumbers/>
      <w:spacing w:before="120" w:after="120"/>
    </w:pPr>
    <w:rPr>
      <w:rFonts w:cs="Arial"/>
      <w:i/>
      <w:iCs/>
      <w:sz w:val="24"/>
      <w:szCs w:val="24"/>
    </w:rPr>
  </w:style>
  <w:style w:type="paragraph" w:styleId="Caption11111111" w:customStyle="1">
    <w:name w:val="Caption11111111"/>
    <w:basedOn w:val="Normal"/>
    <w:qFormat/>
    <w:pPr>
      <w:suppressLineNumbers/>
      <w:spacing w:before="120" w:after="120"/>
    </w:pPr>
    <w:rPr>
      <w:rFonts w:cs="Mangal"/>
      <w:i/>
      <w:iCs/>
      <w:sz w:val="24"/>
      <w:szCs w:val="24"/>
    </w:rPr>
  </w:style>
  <w:style w:type="paragraph" w:styleId="Epgrafe" w:customStyle="1">
    <w:name w:val="Epígrafe"/>
    <w:basedOn w:val="Normal"/>
    <w:qFormat/>
    <w:pPr>
      <w:suppressLineNumbers/>
      <w:spacing w:before="120" w:after="120"/>
    </w:pPr>
    <w:rPr>
      <w:rFonts w:cs="Mangal"/>
      <w:i/>
      <w:iCs/>
      <w:sz w:val="24"/>
      <w:szCs w:val="24"/>
    </w:rPr>
  </w:style>
  <w:style w:type="paragraph" w:styleId="Goiburukoaetaorri-oina" w:customStyle="1">
    <w:name w:val="Goiburukoa eta orri-oina"/>
    <w:basedOn w:val="Normal"/>
    <w:qFormat/>
    <w:pPr>
      <w:suppressLineNumbers/>
      <w:tabs>
        <w:tab w:val="clear" w:pos="708"/>
        <w:tab w:val="center" w:pos="4819" w:leader="none"/>
        <w:tab w:val="right" w:pos="9638" w:leader="none"/>
      </w:tabs>
    </w:pPr>
    <w:rPr/>
  </w:style>
  <w:style w:type="paragraph" w:styleId="Cabeceraypie" w:customStyle="1">
    <w:name w:val="Cabecera y pie"/>
    <w:basedOn w:val="Normal"/>
    <w:qFormat/>
    <w:pPr>
      <w:suppressLineNumbers/>
      <w:tabs>
        <w:tab w:val="clear" w:pos="708"/>
        <w:tab w:val="center" w:pos="4819" w:leader="none"/>
        <w:tab w:val="right" w:pos="9638" w:leader="none"/>
      </w:tabs>
    </w:pPr>
    <w:rPr/>
  </w:style>
  <w:style w:type="paragraph" w:styleId="Header">
    <w:name w:val="Header"/>
    <w:basedOn w:val="Normal"/>
    <w:pPr>
      <w:tabs>
        <w:tab w:val="clear" w:pos="708"/>
        <w:tab w:val="center" w:pos="4536" w:leader="none"/>
        <w:tab w:val="right" w:pos="9072" w:leader="none"/>
      </w:tabs>
    </w:pPr>
    <w:rPr/>
  </w:style>
  <w:style w:type="paragraph" w:styleId="Footer">
    <w:name w:val="Footer"/>
    <w:basedOn w:val="Normal"/>
    <w:pPr>
      <w:tabs>
        <w:tab w:val="clear" w:pos="708"/>
        <w:tab w:val="center" w:pos="4536" w:leader="none"/>
        <w:tab w:val="right" w:pos="9072" w:leader="none"/>
      </w:tabs>
    </w:pPr>
    <w:rPr/>
  </w:style>
  <w:style w:type="numbering" w:styleId="Ningunalista" w:customStyle="1">
    <w:name w:val="Ninguna lista"/>
    <w:uiPriority w:val="99"/>
    <w:semiHidden/>
    <w:unhideWhenUsed/>
    <w:qFormat/>
  </w:style>
  <w:style w:type="table" w:default="1" w:styleId="Tablanormal">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_rels/header2.xml.rels><?xml version="1.0" encoding="UTF-8"?>
<Relationships xmlns="http://schemas.openxmlformats.org/package/2006/relationships"><Relationship Id="rId1" Type="http://schemas.openxmlformats.org/officeDocument/2006/relationships/image" Target="media/image1.png"/>
</Relationships>
</file>

<file path=word/_rels/header3.xml.rels><?xml version="1.0" encoding="UTF-8"?>
<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xmlns:r="http://schemas.openxmlformats.org/officeDocument/2006/relationships" name="Tema de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pitchFamily="0" charset="1"/>
        <a:ea typeface=""/>
        <a:cs typeface=""/>
      </a:majorFont>
      <a:minorFont>
        <a:latin typeface="Aptos" panose="0211000402020202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33</TotalTime>
  <Application>LibreOffice/24.2.7.2$Windows_X86_64 LibreOffice_project/ee3885777aa7032db5a9b65deec9457448a91162</Application>
  <AppVersion>15.0000</AppVersion>
  <Pages>3</Pages>
  <Words>835</Words>
  <Characters>5749</Characters>
  <CharactersWithSpaces>6555</CharactersWithSpaces>
  <Paragraphs>29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2026-09-24T06:05:00Z</dcterms:created>
  <dc:creator>sd</dc:creator>
  <dc:description/>
  <dc:language>es-ES</dc:language>
  <cp:lastModifiedBy/>
  <cp:lastPrinted>2024-09-04T11:57:00Z</cp:lastPrinted>
  <dcterms:modified xsi:type="dcterms:W3CDTF">2026-09-25T09:55:38Z</dcterms:modified>
  <cp:revision>32</cp:revision>
  <dc:subject/>
  <dc:title/>
</cp:coreProperties>
</file>

<file path=docProps/custom.xml><?xml version="1.0" encoding="utf-8"?>
<Properties xmlns="http://schemas.openxmlformats.org/officeDocument/2006/custom-properties" xmlns:vt="http://schemas.openxmlformats.org/officeDocument/2006/docPropsVTypes"/>
</file>