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r>
    </w:p>
    <w:p>
      <w:pPr>
        <w:pStyle w:val="Normal"/>
        <w:jc w:val="center"/>
        <w:rPr/>
      </w:pPr>
      <w:r>
        <w:rPr>
          <w:rStyle w:val="Strong"/>
          <w:rFonts w:cs="Arial" w:ascii="Arial" w:hAnsi="Arial"/>
          <w:sz w:val="40"/>
          <w:szCs w:val="40"/>
        </w:rPr>
        <w:t xml:space="preserve">El Ayuntamiento reforzará el control sobre el depósito de voluminosos para frenar los vertidos fuera de horario  </w:t>
      </w:r>
    </w:p>
    <w:p>
      <w:pPr>
        <w:pStyle w:val="Normal"/>
        <w:jc w:val="center"/>
        <w:rPr/>
      </w:pPr>
      <w:r>
        <w:rPr/>
      </w:r>
    </w:p>
    <w:p>
      <w:pPr>
        <w:pStyle w:val="Normal"/>
        <w:jc w:val="center"/>
        <w:rPr/>
      </w:pPr>
      <w:r>
        <w:rPr>
          <w:rStyle w:val="Strong"/>
          <w:rFonts w:cs="Arial" w:ascii="Arial" w:hAnsi="Arial"/>
          <w:b w:val="false"/>
          <w:bCs w:val="false"/>
          <w:i/>
          <w:iCs/>
          <w:sz w:val="28"/>
          <w:szCs w:val="28"/>
        </w:rPr>
        <w:t>En lo que va de año se han atendido 47.645 avisos por presencia de voluminosos; más del 20% de los depósitos se realizan fuera de los días establecidos</w:t>
      </w:r>
    </w:p>
    <w:p>
      <w:pPr>
        <w:pStyle w:val="Normal"/>
        <w:rPr/>
      </w:pPr>
      <w:r>
        <w:rPr/>
      </w:r>
    </w:p>
    <w:p>
      <w:pPr>
        <w:pStyle w:val="Normal"/>
        <w:rPr/>
      </w:pPr>
      <w:r>
        <w:rPr/>
      </w:r>
    </w:p>
    <w:p>
      <w:pPr>
        <w:pStyle w:val="Normal"/>
        <w:jc w:val="both"/>
        <w:rPr>
          <w:rFonts w:ascii="Helv" w:hAnsi="Helv" w:cs="Helv"/>
          <w:color w:val="000000"/>
          <w:sz w:val="24"/>
        </w:rPr>
      </w:pPr>
      <w:r>
        <w:rPr>
          <w:rFonts w:cs="Helv" w:ascii="Helv" w:hAnsi="Helv"/>
          <w:color w:val="000000"/>
          <w:sz w:val="24"/>
        </w:rPr>
        <w:t xml:space="preserve">El Ayuntamiento de San Sebastián va a reforzar las medidas de concienciación y control sobre el depósito de residuos voluminosos en la vía pública, con el objetivo de mejorar la recogida de este tipo de residuos y evitar que se viertan de forma indebida. </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cs="Helv" w:ascii="Helv" w:hAnsi="Helv"/>
          <w:color w:val="000000"/>
          <w:sz w:val="24"/>
        </w:rPr>
        <w:t xml:space="preserve">Por una parte, el Departamento de Mantenimiento y Servicios Urbanos </w:t>
      </w:r>
      <w:r>
        <w:rPr>
          <w:rFonts w:cs="Helv" w:ascii="Helv" w:hAnsi="Helv"/>
          <w:color w:val="000000"/>
          <w:sz w:val="24"/>
        </w:rPr>
        <w:t xml:space="preserve">ha instalado </w:t>
      </w:r>
      <w:r>
        <w:rPr>
          <w:rFonts w:cs="Helv" w:ascii="Helv" w:hAnsi="Helv"/>
          <w:color w:val="000000"/>
          <w:sz w:val="24"/>
        </w:rPr>
        <w:t xml:space="preserve">1.300 </w:t>
      </w:r>
      <w:r>
        <w:rPr>
          <w:rFonts w:cs="Helv" w:ascii="Helv" w:hAnsi="Helv"/>
          <w:color w:val="000000"/>
          <w:sz w:val="24"/>
        </w:rPr>
        <w:t xml:space="preserve">nuevos </w:t>
      </w:r>
      <w:r>
        <w:rPr>
          <w:rFonts w:cs="Helv" w:ascii="Helv" w:hAnsi="Helv"/>
          <w:color w:val="000000"/>
          <w:sz w:val="24"/>
        </w:rPr>
        <w:t xml:space="preserve">vinilos informativos, en formato A3, en los contenedores de la ciudad, con el objetivo de recordar de una manera clara y visible los días y horarios establecidos para el depósito de muebles, colchones, electrodomésticos y otros enseres domésticos. Y por otra, la Guardia Municipal intensificará el control y vigilancia. </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cs="Helv" w:ascii="Helv" w:hAnsi="Helv"/>
          <w:color w:val="000000"/>
          <w:sz w:val="24"/>
        </w:rPr>
        <w:t>La actuación pretende dar un paso más ante situaciones que se producen de manera recurrente, con muebles y todo tipo de objetos depositados junto a los contenedores cualquier día y a cualquier hora, elementos que ocupan las aceras y dificultan el tránsito y, en algunos casos, residuos que ni siquiera están incluidos dentro del servicio municipal de recogida de voluminosos.</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cs="Helv" w:ascii="Helv" w:hAnsi="Helv"/>
          <w:color w:val="000000"/>
          <w:sz w:val="24"/>
        </w:rPr>
        <w:t xml:space="preserve">El concejal delegado de Mantenimiento y Servicios Urbanos, Iñigo García Villanueva, ha señalado que “Donostia dispone de un servicio de recogida de voluminosos organizado, con días y horarios concretos. Lo que necesitamos es que esas normas se conozcan y se respeten. No podemos normalizar que muebles, colchones o todo tipo de residuos permanezcan durante horas o incluso días junto a los contenedores porque se han depositado cuando no </w:t>
      </w:r>
      <w:r>
        <w:rPr>
          <w:rFonts w:cs="Helv" w:ascii="Helv" w:hAnsi="Helv"/>
          <w:color w:val="000000"/>
          <w:sz w:val="24"/>
          <w:shd w:fill="auto" w:val="clear"/>
        </w:rPr>
        <w:t>corresponde”.</w:t>
      </w:r>
    </w:p>
    <w:p>
      <w:pPr>
        <w:pStyle w:val="Normal"/>
        <w:jc w:val="both"/>
        <w:rPr>
          <w:rFonts w:ascii="Helv" w:hAnsi="Helv" w:cs="Helv"/>
          <w:color w:val="000000"/>
          <w:sz w:val="24"/>
          <w:highlight w:val="none"/>
          <w:shd w:fill="auto" w:val="clear"/>
        </w:rPr>
      </w:pPr>
      <w:r>
        <w:rPr>
          <w:rFonts w:cs="Helv" w:ascii="Helv" w:hAnsi="Helv"/>
          <w:color w:val="000000"/>
          <w:sz w:val="24"/>
          <w:shd w:fill="auto" w:val="clear"/>
        </w:rPr>
      </w:r>
    </w:p>
    <w:p>
      <w:pPr>
        <w:pStyle w:val="Normal"/>
        <w:jc w:val="both"/>
        <w:rPr>
          <w:highlight w:val="none"/>
          <w:shd w:fill="auto" w:val="clear"/>
        </w:rPr>
      </w:pPr>
      <w:r>
        <w:rPr>
          <w:rFonts w:cs="Helv" w:ascii="Helv" w:hAnsi="Helv"/>
          <w:color w:val="000000"/>
          <w:sz w:val="24"/>
          <w:shd w:fill="auto" w:val="clear"/>
        </w:rPr>
        <w:t>Por su parte, el concejal de Seguridad Ciudadana, Bomberos y Protección Civil, Martín Ibabe, ha señalado que “en la aplicación de cualquier norma, siempre consideramos que la primera herramienta debe ser la información y la concienciación para la prevención. Vamos a trabajar para que la ciudadanía conozca bien cómo funciona el servicio y tenga claro que incumplir la normativa afecta a muchos otros factores, pero también estaremos vigilantes y actuaremos cuando se detecten incumplimientos. Las normas están para garantizar una buena convivencia y, cuando no se respeten, se aplicarán las sanciones previstas en la Ordenanza con el rigor que corresponde”.</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cs="Helv" w:ascii="Helv" w:hAnsi="Helv"/>
          <w:b/>
          <w:bCs/>
          <w:color w:val="000000"/>
          <w:sz w:val="24"/>
        </w:rPr>
        <w:t>250 avisos diarios</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cs="Helv" w:ascii="Helv" w:hAnsi="Helv"/>
          <w:color w:val="000000"/>
          <w:sz w:val="24"/>
        </w:rPr>
        <w:t>Los datos municipales reflejan la dimensión de esta situación. En lo que va de año se han atendido 47.645 avisos relacionados con la presencia de residuos voluminosos, lo que supone alrededor de 250 avisos diarios.</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cs="Helv" w:ascii="Helv" w:hAnsi="Helv"/>
          <w:color w:val="000000"/>
          <w:sz w:val="24"/>
        </w:rPr>
        <w:t>Además, más del 20% de los depósitos se han realizado fuera de los días establecidos por la Ordenanza Municipal, obligando a los servicios de limpieza a gestionar incidencias que podrían evitarse haciendo un uso correcto del sistema.</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cs="Helv" w:ascii="Helv" w:hAnsi="Helv"/>
          <w:color w:val="000000"/>
          <w:sz w:val="24"/>
        </w:rPr>
        <w:t>Hasta el 31 de agosto de 2026 se han recogido 1.521,40 toneladas de residuos voluminosos, lo que representa un 3,11% más que en 2025 en el periodo analizado. A esta cantidad se suman otros 1.405.660 kilos de escombros, yesos, cristales, tejas, cerámicas y otros materiales que los servicios municipales han tenido que retirar junto a los contenedores o de vertidos incontrolados durante este año.</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cs="Helv" w:ascii="Helv" w:hAnsi="Helv"/>
          <w:b/>
          <w:bCs/>
          <w:color w:val="000000"/>
          <w:sz w:val="24"/>
        </w:rPr>
        <w:t>Respeto de la vía pública</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cs="Helv" w:ascii="Helv" w:hAnsi="Helv"/>
          <w:color w:val="000000"/>
          <w:sz w:val="24"/>
        </w:rPr>
        <w:t xml:space="preserve">García Villanueva ha explicado que “detrás de cada depósito realizado de manera incorrecta hay un servicio municipal que tiene que intervenir. No hablamos únicamente de una cuestión de imagen. Estos residuos pueden ocupar las aceras, dificultar el paso, generar suciedad y obligan a destinar recursos públicos a corregir situaciones que son perfectamente evitables”. En este sentido ha señalado que con estos 1.300 vinilos se quiere llevar la información directamente al lugar donde se realiza el depósito. “Queremos </w:t>
      </w:r>
      <w:r>
        <w:rPr>
          <w:rFonts w:cs="Helv" w:ascii="Helv" w:hAnsi="Helv"/>
          <w:color w:val="000000"/>
          <w:sz w:val="24"/>
          <w:shd w:fill="auto" w:val="clear"/>
        </w:rPr>
        <w:t>facilitar las cosas y que nadie pueda decir que desconoce cómo funciona el servicio, pero también pedir responsabilidad. La calle y el entorno de los contenedores no son el lugar para abandonar cualquier residuo en cualquier momento”.</w:t>
      </w:r>
    </w:p>
    <w:p>
      <w:pPr>
        <w:pStyle w:val="Normal"/>
        <w:jc w:val="both"/>
        <w:rPr>
          <w:rFonts w:ascii="Helv" w:hAnsi="Helv" w:cs="Helv"/>
          <w:color w:val="000000"/>
          <w:sz w:val="24"/>
          <w:highlight w:val="none"/>
          <w:shd w:fill="auto" w:val="clear"/>
        </w:rPr>
      </w:pPr>
      <w:r>
        <w:rPr>
          <w:rFonts w:cs="Helv" w:ascii="Helv" w:hAnsi="Helv"/>
          <w:color w:val="000000"/>
          <w:sz w:val="24"/>
          <w:shd w:fill="auto" w:val="clear"/>
        </w:rPr>
      </w:r>
    </w:p>
    <w:p>
      <w:pPr>
        <w:pStyle w:val="Normal"/>
        <w:jc w:val="both"/>
        <w:rPr>
          <w:highlight w:val="none"/>
          <w:shd w:fill="auto" w:val="clear"/>
        </w:rPr>
      </w:pPr>
      <w:r>
        <w:rPr>
          <w:rFonts w:cs="Helv" w:ascii="Helv" w:hAnsi="Helv"/>
          <w:b/>
          <w:bCs/>
          <w:color w:val="000000"/>
          <w:sz w:val="24"/>
          <w:shd w:fill="auto" w:val="clear"/>
        </w:rPr>
        <w:t xml:space="preserve">Sanciones </w:t>
      </w:r>
    </w:p>
    <w:p>
      <w:pPr>
        <w:pStyle w:val="Normal"/>
        <w:jc w:val="both"/>
        <w:rPr>
          <w:rFonts w:ascii="Helv" w:hAnsi="Helv" w:cs="Helv"/>
          <w:color w:val="000000"/>
          <w:sz w:val="24"/>
          <w:highlight w:val="none"/>
          <w:shd w:fill="auto" w:val="clear"/>
        </w:rPr>
      </w:pPr>
      <w:r>
        <w:rPr>
          <w:rFonts w:cs="Helv" w:ascii="Helv" w:hAnsi="Helv"/>
          <w:color w:val="000000"/>
          <w:sz w:val="24"/>
          <w:shd w:fill="auto" w:val="clear"/>
        </w:rPr>
      </w:r>
    </w:p>
    <w:p>
      <w:pPr>
        <w:pStyle w:val="Normal"/>
        <w:jc w:val="both"/>
        <w:rPr>
          <w:highlight w:val="none"/>
          <w:shd w:fill="auto" w:val="clear"/>
        </w:rPr>
      </w:pPr>
      <w:r>
        <w:rPr>
          <w:rFonts w:cs="Helv" w:ascii="Helv" w:hAnsi="Helv"/>
          <w:color w:val="000000"/>
          <w:sz w:val="24"/>
          <w:shd w:fill="auto" w:val="clear"/>
        </w:rPr>
        <w:t>El incumplimiento puede conllevar multas de hasta 1.000 euros</w:t>
      </w:r>
    </w:p>
    <w:p>
      <w:pPr>
        <w:pStyle w:val="Normal"/>
        <w:jc w:val="both"/>
        <w:rPr>
          <w:rFonts w:ascii="Helv" w:hAnsi="Helv" w:cs="Helv"/>
          <w:color w:val="000000"/>
          <w:sz w:val="24"/>
          <w:highlight w:val="none"/>
          <w:shd w:fill="auto" w:val="clear"/>
        </w:rPr>
      </w:pPr>
      <w:r>
        <w:rPr>
          <w:rFonts w:cs="Helv" w:ascii="Helv" w:hAnsi="Helv"/>
          <w:color w:val="000000"/>
          <w:sz w:val="24"/>
          <w:shd w:fill="auto" w:val="clear"/>
        </w:rPr>
      </w:r>
    </w:p>
    <w:p>
      <w:pPr>
        <w:pStyle w:val="Normal"/>
        <w:jc w:val="both"/>
        <w:rPr>
          <w:highlight w:val="none"/>
          <w:shd w:fill="auto" w:val="clear"/>
        </w:rPr>
      </w:pPr>
      <w:r>
        <w:rPr>
          <w:rFonts w:cs="Helv" w:ascii="Helv" w:hAnsi="Helv"/>
          <w:color w:val="000000"/>
          <w:sz w:val="24"/>
          <w:shd w:fill="auto" w:val="clear"/>
        </w:rPr>
        <w:t>El Ayuntamiento recuerda que el depósito de muebles y residuos voluminosos está expresamente regulado en la Ordenanza Municipal de Recogida de Residuos Urbanos. El artículo 43 determina qué elementos pueden depositarse y las condiciones en las que deben colocarse junto a los contenedores, mientras que el artículo 44 establece los días correspondientes a cada zona y fija el horario de depósito entre las 21:30 y las 22:30 horas.</w:t>
      </w:r>
    </w:p>
    <w:p>
      <w:pPr>
        <w:pStyle w:val="Normal"/>
        <w:jc w:val="both"/>
        <w:rPr>
          <w:highlight w:val="none"/>
          <w:shd w:fill="auto" w:val="clear"/>
        </w:rPr>
      </w:pPr>
      <w:r>
        <w:rPr>
          <w:shd w:fill="auto" w:val="clear"/>
        </w:rPr>
      </w:r>
    </w:p>
    <w:p>
      <w:pPr>
        <w:pStyle w:val="Normal"/>
        <w:jc w:val="both"/>
        <w:rPr>
          <w:highlight w:val="none"/>
          <w:shd w:fill="auto" w:val="clear"/>
        </w:rPr>
      </w:pPr>
      <w:r>
        <w:rPr>
          <w:rFonts w:cs="Helv" w:ascii="Helv" w:hAnsi="Helv"/>
          <w:color w:val="000000"/>
          <w:sz w:val="24"/>
          <w:shd w:fill="auto" w:val="clear"/>
        </w:rPr>
        <w:t>El artículo 68 tipifica como infracción grave efectuar depósitos de muebles o enseres incumpliendo lo establecido en los artículos 43, 44, 53 o 54 de la Ordenanza.</w:t>
      </w:r>
    </w:p>
    <w:p>
      <w:pPr>
        <w:pStyle w:val="Normal"/>
        <w:jc w:val="both"/>
        <w:rPr>
          <w:highlight w:val="none"/>
          <w:shd w:fill="auto" w:val="clear"/>
        </w:rPr>
      </w:pPr>
      <w:r>
        <w:rPr>
          <w:rFonts w:cs="Helv" w:ascii="Helv" w:hAnsi="Helv"/>
          <w:color w:val="000000"/>
          <w:sz w:val="24"/>
          <w:shd w:fill="auto" w:val="clear"/>
        </w:rPr>
        <w:t>Por su parte, el artículo 69 establece para las infracciones graves multas de entre 501 y 1.000 euros. Además, las personas infractoras están obligadas a retirar los residuos abandonados y limpiar el área que hayan ensuciado, con independencia de la sanción que pueda corresponder.</w:t>
      </w:r>
    </w:p>
    <w:p>
      <w:pPr>
        <w:pStyle w:val="Normal"/>
        <w:jc w:val="both"/>
        <w:rPr>
          <w:rFonts w:ascii="Helv" w:hAnsi="Helv" w:cs="Helv"/>
          <w:color w:val="000000"/>
          <w:sz w:val="24"/>
        </w:rPr>
      </w:pPr>
      <w:r>
        <w:rPr>
          <w:shd w:fill="auto" w:val="clear"/>
        </w:rPr>
      </w:r>
    </w:p>
    <w:p>
      <w:pPr>
        <w:pStyle w:val="Normal"/>
        <w:jc w:val="both"/>
        <w:rPr>
          <w:highlight w:val="none"/>
          <w:shd w:fill="auto" w:val="clear"/>
        </w:rPr>
      </w:pPr>
      <w:r>
        <w:rPr>
          <w:rFonts w:cs="Helv" w:ascii="Helv" w:hAnsi="Helv"/>
          <w:color w:val="000000"/>
          <w:sz w:val="24"/>
          <w:shd w:fill="auto" w:val="clear"/>
        </w:rPr>
        <w:t>Asimismo, se recuerda que rebuscar entre los enseres depositados en la vía pública también está prohibido y es igualmente sancionable.</w:t>
      </w:r>
    </w:p>
    <w:p>
      <w:pPr>
        <w:pStyle w:val="Normal"/>
        <w:jc w:val="both"/>
        <w:rPr>
          <w:rFonts w:ascii="Helv" w:hAnsi="Helv" w:cs="Helv"/>
          <w:color w:val="000000"/>
          <w:sz w:val="24"/>
          <w:highlight w:val="none"/>
          <w:shd w:fill="auto" w:val="clear"/>
        </w:rPr>
      </w:pPr>
      <w:r>
        <w:rPr>
          <w:rFonts w:cs="Helv" w:ascii="Helv" w:hAnsi="Helv"/>
          <w:color w:val="000000"/>
          <w:sz w:val="24"/>
          <w:shd w:fill="auto" w:val="clear"/>
        </w:rPr>
      </w:r>
    </w:p>
    <w:p>
      <w:pPr>
        <w:pStyle w:val="Normal"/>
        <w:jc w:val="both"/>
        <w:rPr>
          <w:highlight w:val="none"/>
          <w:shd w:fill="auto" w:val="clear"/>
        </w:rPr>
      </w:pPr>
      <w:r>
        <w:rPr>
          <w:rFonts w:cs="Helv" w:ascii="Helv" w:hAnsi="Helv"/>
          <w:b/>
          <w:bCs/>
          <w:color w:val="000000"/>
          <w:sz w:val="24"/>
          <w:shd w:fill="auto" w:val="clear"/>
        </w:rPr>
        <w:t>Días y horarios</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cs="Helv" w:ascii="Helv" w:hAnsi="Helv"/>
          <w:color w:val="000000"/>
          <w:sz w:val="24"/>
        </w:rPr>
        <w:t>El servicio comprende la recogida de muebles, enseres, colchones y somieres, electrodomésticos, televisores y pequeños aparatos eléctricos y electrónicos de origen doméstico, que posteriormente son trasladados para su clasificación y tratamiento.</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cs="Helv" w:ascii="Helv" w:hAnsi="Helv"/>
          <w:color w:val="000000"/>
          <w:sz w:val="24"/>
        </w:rPr>
        <w:t>Para organizar la recogida, Donostia está dividida en dos zonas:</w:t>
      </w:r>
    </w:p>
    <w:p>
      <w:pPr>
        <w:pStyle w:val="Normal"/>
        <w:jc w:val="both"/>
        <w:rPr>
          <w:rFonts w:ascii="Helv" w:hAnsi="Helv" w:cs="Helv"/>
          <w:color w:val="000000"/>
          <w:sz w:val="24"/>
        </w:rPr>
      </w:pPr>
      <w:r>
        <w:rPr>
          <w:rFonts w:cs="Helv" w:ascii="Helv" w:hAnsi="Helv"/>
          <w:color w:val="000000"/>
          <w:sz w:val="24"/>
        </w:rPr>
      </w:r>
    </w:p>
    <w:p>
      <w:pPr>
        <w:pStyle w:val="Normal"/>
        <w:numPr>
          <w:ilvl w:val="0"/>
          <w:numId w:val="1"/>
        </w:numPr>
        <w:jc w:val="both"/>
        <w:rPr>
          <w:rFonts w:ascii="Helv" w:hAnsi="Helv" w:cs="Helv"/>
          <w:color w:val="000000"/>
          <w:sz w:val="24"/>
        </w:rPr>
      </w:pPr>
      <w:r>
        <w:rPr>
          <w:rFonts w:cs="Helv" w:ascii="Helv" w:hAnsi="Helv"/>
          <w:color w:val="000000"/>
          <w:sz w:val="24"/>
        </w:rPr>
        <w:t>En la zona Este, los residuos voluminosos pueden depositarse los domingos, martes y jueves.</w:t>
      </w:r>
    </w:p>
    <w:p>
      <w:pPr>
        <w:pStyle w:val="Normal"/>
        <w:numPr>
          <w:ilvl w:val="0"/>
          <w:numId w:val="1"/>
        </w:numPr>
        <w:jc w:val="both"/>
        <w:rPr>
          <w:rFonts w:ascii="Helv" w:hAnsi="Helv" w:cs="Helv"/>
          <w:color w:val="000000"/>
          <w:sz w:val="24"/>
        </w:rPr>
      </w:pPr>
      <w:r>
        <w:rPr>
          <w:rFonts w:cs="Helv" w:ascii="Helv" w:hAnsi="Helv"/>
          <w:color w:val="000000"/>
          <w:sz w:val="24"/>
        </w:rPr>
        <w:t>En la zona Oeste, pueden depositarse los lunes, miércoles y viernes.</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cs="Helv" w:ascii="Helv" w:hAnsi="Helv"/>
          <w:color w:val="000000"/>
          <w:sz w:val="24"/>
        </w:rPr>
        <w:t>En ambos casos, el horario establecido para realizar el depósito es exclusivamente de 21:30 a 22:30 horas. No pueden depositarse los sábados ni los días 24 y 31 de diciembre. La recogida municipal se realiza al día siguiente.</w:t>
      </w:r>
    </w:p>
    <w:p>
      <w:pPr>
        <w:pStyle w:val="Normal"/>
        <w:jc w:val="both"/>
        <w:rPr>
          <w:rFonts w:ascii="Helv" w:hAnsi="Helv" w:cs="Helv"/>
          <w:color w:val="000000"/>
          <w:sz w:val="24"/>
        </w:rPr>
      </w:pPr>
      <w:r>
        <w:rPr>
          <w:rFonts w:cs="Helv" w:ascii="Helv" w:hAnsi="Helv"/>
          <w:color w:val="000000"/>
          <w:sz w:val="24"/>
        </w:rPr>
        <w:t>Los muebles y enseres deben colocarse junto al contenedor común o general de residuos, sin ocupar las zonas de tránsito peatonal ni la circulación de vehículos y causando las menores molestias posibles. También pueden trasladarse directamente a los Garbigunes.</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b/>
          <w:bCs/>
          <w:color w:val="000000"/>
          <w:sz w:val="24"/>
        </w:rPr>
      </w:pPr>
      <w:r>
        <w:rPr>
          <w:rFonts w:cs="Helv" w:ascii="Helv" w:hAnsi="Helv"/>
          <w:b/>
          <w:bCs/>
          <w:color w:val="000000"/>
          <w:sz w:val="24"/>
        </w:rPr>
        <w:t>No todo puede dejarse junto al contenedor</w:t>
      </w:r>
    </w:p>
    <w:p>
      <w:pPr>
        <w:pStyle w:val="Normal"/>
        <w:jc w:val="both"/>
        <w:rPr>
          <w:rFonts w:ascii="Helv" w:hAnsi="Helv" w:cs="Helv"/>
          <w:b/>
          <w:bCs/>
          <w:color w:val="000000"/>
          <w:sz w:val="24"/>
        </w:rPr>
      </w:pPr>
      <w:r>
        <w:rPr>
          <w:rFonts w:cs="Helv" w:ascii="Helv" w:hAnsi="Helv"/>
          <w:b/>
          <w:bCs/>
          <w:color w:val="000000"/>
          <w:sz w:val="24"/>
        </w:rPr>
      </w:r>
    </w:p>
    <w:p>
      <w:pPr>
        <w:pStyle w:val="Normal"/>
        <w:jc w:val="both"/>
        <w:rPr>
          <w:rFonts w:ascii="Helv" w:hAnsi="Helv" w:cs="Helv"/>
          <w:color w:val="000000"/>
          <w:sz w:val="24"/>
        </w:rPr>
      </w:pPr>
      <w:r>
        <w:rPr>
          <w:rFonts w:cs="Helv" w:ascii="Helv" w:hAnsi="Helv"/>
          <w:color w:val="000000"/>
          <w:sz w:val="24"/>
        </w:rPr>
        <w:t>El Ayuntamiento recuerda, además, que el servicio de voluminosos no puede utilizarse para deshacerse de cualquier tipo de residuo. La Ordenanza excluye de este sistema, entre otros, determinados residuos procedentes de obras y reformas domésticas, como escombros, maderas, marcos de ventanas y puertas, persianas, tarimas, suelos, moquetas, bañeras, sanitarios, lavabos, muebles de cocina o radiadores.</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cs="Helv" w:ascii="Helv" w:hAnsi="Helv"/>
          <w:color w:val="000000"/>
          <w:sz w:val="24"/>
        </w:rPr>
        <w:t>Tampoco están incluidos los muebles y embalajes procedentes de actividades comerciales ni aquellos derivados de mudanzas o nuevos amueblamientos en los supuestos recogidos por la normativa, cuya retirada debe gestionarse por las vías correspondientes.</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cs="Helv" w:ascii="Helv" w:hAnsi="Helv"/>
          <w:color w:val="000000"/>
          <w:sz w:val="24"/>
        </w:rPr>
      </w:r>
    </w:p>
    <w:p>
      <w:pPr>
        <w:pStyle w:val="Normal"/>
        <w:jc w:val="both"/>
        <w:rPr/>
      </w:pPr>
      <w:r>
        <w:rPr/>
      </w:r>
    </w:p>
    <w:p>
      <w:pPr>
        <w:pStyle w:val="Normal"/>
        <w:jc w:val="both"/>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701" w:gutter="0" w:header="709" w:top="2410" w:footer="720" w:bottom="1418"/>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Arial">
    <w:charset w:val="00"/>
    <w:family w:val="roman"/>
    <w:pitch w:val="variable"/>
  </w:font>
  <w:font w:name="Helv">
    <w:altName w:val="Arial"/>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es-ES" w:eastAsia="es-ES"/>
      </w:rPr>
    </w:pPr>
    <w:r>
      <w:rPr>
        <w:lang w:val="es-ES" w:eastAsia="es-ES"/>
      </w:rPr>
      <w:drawing>
        <wp:anchor behindDoc="1" distT="0" distB="0" distL="0" distR="0" simplePos="0" locked="0" layoutInCell="1" allowOverlap="1" relativeHeight="5">
          <wp:simplePos x="0" y="0"/>
          <wp:positionH relativeFrom="column">
            <wp:posOffset>-1371600</wp:posOffset>
          </wp:positionH>
          <wp:positionV relativeFrom="paragraph">
            <wp:posOffset>-447675</wp:posOffset>
          </wp:positionV>
          <wp:extent cx="7552055" cy="1276350"/>
          <wp:effectExtent l="0" t="0" r="0" b="0"/>
          <wp:wrapNone/>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rcRect l="-31" t="-191" r="-31" b="-191"/>
                  <a:stretch>
                    <a:fillRect/>
                  </a:stretch>
                </pic:blipFill>
                <pic:spPr bwMode="auto">
                  <a:xfrm>
                    <a:off x="0" y="0"/>
                    <a:ext cx="7552055" cy="127635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es-ES" w:eastAsia="es-ES"/>
      </w:rPr>
    </w:pPr>
    <w:r>
      <w:rPr>
        <w:lang w:val="es-ES" w:eastAsia="es-ES"/>
      </w:rPr>
      <w:drawing>
        <wp:anchor behindDoc="1" distT="0" distB="0" distL="0" distR="0" simplePos="0" locked="0" layoutInCell="1" allowOverlap="1" relativeHeight="5">
          <wp:simplePos x="0" y="0"/>
          <wp:positionH relativeFrom="column">
            <wp:posOffset>-1371600</wp:posOffset>
          </wp:positionH>
          <wp:positionV relativeFrom="paragraph">
            <wp:posOffset>-447675</wp:posOffset>
          </wp:positionV>
          <wp:extent cx="7552055" cy="1276350"/>
          <wp:effectExtent l="0" t="0" r="0" b="0"/>
          <wp:wrapNone/>
          <wp:docPr id="2"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
                  <pic:cNvPicPr>
                    <a:picLocks noChangeAspect="1" noChangeArrowheads="1"/>
                  </pic:cNvPicPr>
                </pic:nvPicPr>
                <pic:blipFill>
                  <a:blip r:embed="rId1"/>
                  <a:srcRect l="-31" t="-191" r="-31" b="-191"/>
                  <a:stretch>
                    <a:fillRect/>
                  </a:stretch>
                </pic:blipFill>
                <pic:spPr bwMode="auto">
                  <a:xfrm>
                    <a:off x="0" y="0"/>
                    <a:ext cx="7552055" cy="12763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5"/>
  <w:displayBackgroundShape/>
  <w:embedSystemFonts/>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s-ES" w:eastAsia="es-E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eastAsia="zh-CN" w:val="es-ES" w:bidi="ar-SA"/>
    </w:rPr>
  </w:style>
  <w:style w:type="character" w:styleId="DefaultParagraphFont" w:default="1">
    <w:name w:val="Default Paragraph Font"/>
    <w:uiPriority w:val="1"/>
    <w:semiHidden/>
    <w:unhideWhenUsed/>
    <w:qFormat/>
    <w:rPr/>
  </w:style>
  <w:style w:type="character" w:styleId="Fuentedeprrafopredeter2" w:customStyle="1">
    <w:name w:val="Fuente de párrafo predeter.2"/>
    <w:qFormat/>
    <w:rPr/>
  </w:style>
  <w:style w:type="character" w:styleId="Fuentedeprrafopredeter1" w:customStyle="1">
    <w:name w:val="Fuente de párrafo predeter.1"/>
    <w:qFormat/>
    <w:rPr/>
  </w:style>
  <w:style w:type="character" w:styleId="Strong">
    <w:name w:val="Strong"/>
    <w:qFormat/>
    <w:rPr>
      <w:b/>
      <w:bCs/>
    </w:rPr>
  </w:style>
  <w:style w:type="character" w:styleId="Bolos" w:customStyle="1">
    <w:name w:val="Bolos"/>
    <w:qFormat/>
    <w:rPr>
      <w:rFonts w:ascii="OpenSymbol" w:hAnsi="OpenSymbol" w:eastAsia="OpenSymbol" w:cs="OpenSymbol"/>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before="0" w:after="12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Arial"/>
    </w:rPr>
  </w:style>
  <w:style w:type="paragraph" w:styleId="Ttulo1" w:customStyle="1">
    <w:name w:val="Título1"/>
    <w:basedOn w:val="Normal"/>
    <w:next w:val="BodyText"/>
    <w:qFormat/>
    <w:pPr>
      <w:keepNext w:val="true"/>
      <w:spacing w:before="240" w:after="120"/>
    </w:pPr>
    <w:rPr>
      <w:rFonts w:ascii="Liberation Sans" w:hAnsi="Liberation Sans" w:eastAsia="Microsoft YaHei" w:cs="Arial"/>
      <w:sz w:val="28"/>
      <w:szCs w:val="28"/>
    </w:rPr>
  </w:style>
  <w:style w:type="paragraph" w:styleId="Caption1" w:customStyle="1">
    <w:name w:val="Caption1"/>
    <w:basedOn w:val="Normal"/>
    <w:qFormat/>
    <w:pPr>
      <w:suppressLineNumbers/>
      <w:spacing w:before="120" w:after="120"/>
    </w:pPr>
    <w:rPr>
      <w:rFonts w:cs="Arial"/>
      <w:i/>
      <w:iCs/>
      <w:sz w:val="24"/>
      <w:szCs w:val="24"/>
    </w:rPr>
  </w:style>
  <w:style w:type="paragraph" w:styleId="Caption11" w:customStyle="1">
    <w:name w:val="Caption11"/>
    <w:basedOn w:val="Normal"/>
    <w:qFormat/>
    <w:pPr>
      <w:suppressLineNumbers/>
      <w:spacing w:before="120" w:after="120"/>
    </w:pPr>
    <w:rPr>
      <w:rFonts w:cs="Arial"/>
      <w:i/>
      <w:iCs/>
      <w:sz w:val="24"/>
      <w:szCs w:val="24"/>
    </w:rPr>
  </w:style>
  <w:style w:type="paragraph" w:styleId="Caption111" w:customStyle="1">
    <w:name w:val="Caption111"/>
    <w:basedOn w:val="Normal"/>
    <w:qFormat/>
    <w:pPr>
      <w:suppressLineNumbers/>
      <w:spacing w:before="120" w:after="120"/>
    </w:pPr>
    <w:rPr>
      <w:rFonts w:cs="Arial"/>
      <w:i/>
      <w:iCs/>
      <w:sz w:val="24"/>
      <w:szCs w:val="24"/>
    </w:rPr>
  </w:style>
  <w:style w:type="paragraph" w:styleId="Caption1111" w:customStyle="1">
    <w:name w:val="Caption1111"/>
    <w:basedOn w:val="Normal"/>
    <w:qFormat/>
    <w:pPr>
      <w:suppressLineNumbers/>
      <w:spacing w:before="120" w:after="120"/>
    </w:pPr>
    <w:rPr>
      <w:rFonts w:cs="Arial"/>
      <w:i/>
      <w:iCs/>
      <w:sz w:val="24"/>
      <w:szCs w:val="24"/>
    </w:rPr>
  </w:style>
  <w:style w:type="paragraph" w:styleId="Caption11111" w:customStyle="1">
    <w:name w:val="Caption11111"/>
    <w:basedOn w:val="Normal"/>
    <w:qFormat/>
    <w:pPr>
      <w:suppressLineNumbers/>
      <w:spacing w:before="120" w:after="120"/>
    </w:pPr>
    <w:rPr>
      <w:rFonts w:cs="Arial"/>
      <w:i/>
      <w:iCs/>
      <w:sz w:val="24"/>
      <w:szCs w:val="24"/>
    </w:rPr>
  </w:style>
  <w:style w:type="paragraph" w:styleId="Izenburua" w:customStyle="1">
    <w:name w:val="Izenburua"/>
    <w:basedOn w:val="Normal"/>
    <w:next w:val="BodyText"/>
    <w:qFormat/>
    <w:pPr>
      <w:keepNext w:val="true"/>
      <w:spacing w:before="240" w:after="120"/>
    </w:pPr>
    <w:rPr>
      <w:rFonts w:ascii="Arial" w:hAnsi="Arial" w:eastAsia="Microsoft YaHei" w:cs="Mangal"/>
      <w:sz w:val="28"/>
      <w:szCs w:val="28"/>
    </w:rPr>
  </w:style>
  <w:style w:type="paragraph" w:styleId="Caption111111" w:customStyle="1">
    <w:name w:val="Caption111111"/>
    <w:basedOn w:val="Normal"/>
    <w:qFormat/>
    <w:pPr>
      <w:suppressLineNumbers/>
      <w:spacing w:before="120" w:after="120"/>
    </w:pPr>
    <w:rPr>
      <w:rFonts w:cs="Arial"/>
      <w:i/>
      <w:iCs/>
      <w:sz w:val="24"/>
      <w:szCs w:val="24"/>
    </w:rPr>
  </w:style>
  <w:style w:type="paragraph" w:styleId="Indizea" w:customStyle="1">
    <w:name w:val="Indizea"/>
    <w:basedOn w:val="Normal"/>
    <w:qFormat/>
    <w:pPr>
      <w:suppressLineNumbers/>
    </w:pPr>
    <w:rPr>
      <w:rFonts w:cs="Mangal"/>
    </w:rPr>
  </w:style>
  <w:style w:type="paragraph" w:styleId="Caption1111111" w:customStyle="1">
    <w:name w:val="Caption1111111"/>
    <w:basedOn w:val="Normal"/>
    <w:qFormat/>
    <w:pPr>
      <w:suppressLineNumbers/>
      <w:spacing w:before="120" w:after="120"/>
    </w:pPr>
    <w:rPr>
      <w:rFonts w:cs="Arial"/>
      <w:i/>
      <w:iCs/>
      <w:sz w:val="24"/>
      <w:szCs w:val="24"/>
    </w:rPr>
  </w:style>
  <w:style w:type="paragraph" w:styleId="Caption11111111" w:customStyle="1">
    <w:name w:val="Caption11111111"/>
    <w:basedOn w:val="Normal"/>
    <w:qFormat/>
    <w:pPr>
      <w:suppressLineNumbers/>
      <w:spacing w:before="120" w:after="120"/>
    </w:pPr>
    <w:rPr>
      <w:rFonts w:cs="Mangal"/>
      <w:i/>
      <w:iCs/>
      <w:sz w:val="24"/>
      <w:szCs w:val="24"/>
    </w:rPr>
  </w:style>
  <w:style w:type="paragraph" w:styleId="Epgrafe" w:customStyle="1">
    <w:name w:val="Epígrafe"/>
    <w:basedOn w:val="Normal"/>
    <w:qFormat/>
    <w:pPr>
      <w:suppressLineNumbers/>
      <w:spacing w:before="120" w:after="120"/>
    </w:pPr>
    <w:rPr>
      <w:rFonts w:cs="Mangal"/>
      <w:i/>
      <w:iCs/>
      <w:sz w:val="24"/>
      <w:szCs w:val="24"/>
    </w:rPr>
  </w:style>
  <w:style w:type="paragraph" w:styleId="Goiburukoaetaorri-oina" w:customStyle="1">
    <w:name w:val="Goiburukoa eta orri-oina"/>
    <w:basedOn w:val="Normal"/>
    <w:qFormat/>
    <w:pPr>
      <w:suppressLineNumbers/>
      <w:tabs>
        <w:tab w:val="clear" w:pos="708"/>
        <w:tab w:val="center" w:pos="4819" w:leader="none"/>
        <w:tab w:val="right" w:pos="9638" w:leader="none"/>
      </w:tabs>
    </w:pPr>
    <w:rPr/>
  </w:style>
  <w:style w:type="paragraph" w:styleId="Cabeceraypie" w:customStyle="1">
    <w:name w:val="Cabecera y pie"/>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36" w:leader="none"/>
        <w:tab w:val="right" w:pos="9072" w:leader="none"/>
      </w:tabs>
    </w:pPr>
    <w:rPr/>
  </w:style>
  <w:style w:type="paragraph" w:styleId="Footer">
    <w:name w:val="Footer"/>
    <w:basedOn w:val="Normal"/>
    <w:pPr>
      <w:tabs>
        <w:tab w:val="clear" w:pos="708"/>
        <w:tab w:val="center" w:pos="4536" w:leader="none"/>
        <w:tab w:val="right" w:pos="9072" w:leader="none"/>
      </w:tabs>
    </w:pPr>
    <w:rPr/>
  </w:style>
  <w:style w:type="numbering" w:styleId="Ningunalista" w:default="1">
    <w:name w:val="Ninguna 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TotalTime>
  <Application>LibreOffice/24.2.7.2$Windows_X86_64 LibreOffice_project/ee3885777aa7032db5a9b65deec9457448a91162</Application>
  <AppVersion>15.0000</AppVersion>
  <Pages>4</Pages>
  <Words>1052</Words>
  <Characters>5772</Characters>
  <CharactersWithSpaces>6798</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2026-09-24T06:05:00Z</dcterms:created>
  <dc:creator>sd</dc:creator>
  <dc:description/>
  <dc:language>es-ES</dc:language>
  <cp:lastModifiedBy/>
  <cp:lastPrinted>2024-09-04T11:57:00Z</cp:lastPrinted>
  <dcterms:modified xsi:type="dcterms:W3CDTF">2026-09-24T12:59:57Z</dcterms:modified>
  <cp:revision>4</cp:revision>
  <dc:subject/>
  <dc:title>   </dc:title>
</cp:coreProperties>
</file>

<file path=docProps/custom.xml><?xml version="1.0" encoding="utf-8"?>
<Properties xmlns="http://schemas.openxmlformats.org/officeDocument/2006/custom-properties" xmlns:vt="http://schemas.openxmlformats.org/officeDocument/2006/docPropsVTypes"/>
</file>